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22F22">
      <w:pPr>
        <w:pStyle w:val="2"/>
        <w:widowControl/>
        <w:pBdr>
          <w:bottom w:val="single" w:color="CC3300" w:sz="12" w:space="3"/>
        </w:pBdr>
        <w:shd w:val="clear" w:color="auto" w:fill="FFFFFF"/>
        <w:spacing w:before="100" w:after="100" w:line="390" w:lineRule="atLeast"/>
        <w:jc w:val="center"/>
        <w:rPr>
          <w:rFonts w:hint="default" w:ascii="微软雅黑" w:hAnsi="微软雅黑" w:eastAsia="微软雅黑" w:cs="微软雅黑"/>
          <w:color w:val="282828"/>
          <w:sz w:val="27"/>
          <w:szCs w:val="27"/>
          <w:shd w:val="clear" w:color="auto" w:fill="FFFFFF"/>
        </w:rPr>
      </w:pPr>
      <w:r>
        <w:rPr>
          <w:rFonts w:ascii="微软雅黑" w:hAnsi="微软雅黑" w:eastAsia="微软雅黑" w:cs="微软雅黑"/>
          <w:color w:val="282828"/>
          <w:sz w:val="27"/>
          <w:szCs w:val="27"/>
          <w:shd w:val="clear" w:color="auto" w:fill="FFFFFF"/>
        </w:rPr>
        <w:t>上海建桥学院网络工程专业中本贯通转段考试</w:t>
      </w:r>
    </w:p>
    <w:p w14:paraId="6F36ED96">
      <w:pPr>
        <w:pStyle w:val="2"/>
        <w:widowControl/>
        <w:pBdr>
          <w:bottom w:val="single" w:color="CC3300" w:sz="12" w:space="3"/>
        </w:pBdr>
        <w:shd w:val="clear" w:color="auto" w:fill="FFFFFF"/>
        <w:spacing w:before="100" w:after="100" w:line="390" w:lineRule="atLeast"/>
        <w:jc w:val="center"/>
        <w:rPr>
          <w:rFonts w:hint="default" w:ascii="微软雅黑" w:hAnsi="微软雅黑" w:eastAsia="微软雅黑" w:cs="微软雅黑"/>
          <w:color w:val="282828"/>
          <w:sz w:val="27"/>
          <w:szCs w:val="27"/>
        </w:rPr>
      </w:pPr>
      <w:r>
        <w:rPr>
          <w:rFonts w:ascii="微软雅黑" w:hAnsi="微软雅黑" w:eastAsia="微软雅黑" w:cs="微软雅黑"/>
          <w:color w:val="282828"/>
          <w:sz w:val="27"/>
          <w:szCs w:val="27"/>
          <w:shd w:val="clear" w:color="auto" w:fill="FFFFFF"/>
        </w:rPr>
        <w:t>技能水平测试大纲</w:t>
      </w:r>
    </w:p>
    <w:p w14:paraId="29458336">
      <w:pPr>
        <w:pStyle w:val="5"/>
        <w:widowControl/>
        <w:spacing w:beforeAutospacing="0" w:after="150" w:afterAutospacing="0" w:line="315" w:lineRule="atLeast"/>
        <w:rPr>
          <w:color w:val="333333"/>
          <w:sz w:val="21"/>
          <w:szCs w:val="21"/>
        </w:rPr>
      </w:pPr>
      <w:r>
        <w:rPr>
          <w:rStyle w:val="8"/>
          <w:rFonts w:hint="eastAsia" w:ascii="宋体" w:hAnsi="宋体" w:eastAsia="宋体" w:cs="宋体"/>
          <w:color w:val="333333"/>
          <w:sz w:val="28"/>
          <w:szCs w:val="28"/>
          <w:shd w:val="clear" w:color="auto" w:fill="FFFFFF"/>
        </w:rPr>
        <w:t>一、考试性质</w:t>
      </w:r>
    </w:p>
    <w:p w14:paraId="6AC781DC">
      <w:pPr>
        <w:pStyle w:val="5"/>
        <w:widowControl/>
        <w:spacing w:after="150" w:line="360" w:lineRule="auto"/>
        <w:ind w:firstLine="480"/>
        <w:rPr>
          <w:rFonts w:ascii="宋体" w:hAnsi="宋体" w:eastAsia="宋体" w:cs="宋体"/>
          <w:color w:val="333333"/>
          <w:shd w:val="clear" w:color="auto" w:fill="FFFFFF"/>
        </w:rPr>
      </w:pPr>
      <w:bookmarkStart w:id="0" w:name="_Toc505595463"/>
      <w:bookmarkEnd w:id="0"/>
      <w:bookmarkStart w:id="1" w:name="_Toc505612783"/>
      <w:bookmarkEnd w:id="1"/>
      <w:r>
        <w:rPr>
          <w:rFonts w:hint="eastAsia" w:ascii="宋体" w:hAnsi="宋体" w:eastAsia="宋体" w:cs="宋体"/>
          <w:color w:val="333333"/>
          <w:shd w:val="clear" w:color="auto" w:fill="FFFFFF"/>
        </w:rPr>
        <w:t>专业技能水平考试大纲仅适用于上海科技管理学校</w:t>
      </w:r>
      <w:r>
        <w:rPr>
          <w:rFonts w:ascii="宋体" w:hAnsi="宋体" w:eastAsia="宋体" w:cs="宋体"/>
          <w:color w:val="333333"/>
          <w:shd w:val="clear" w:color="auto" w:fill="FFFFFF"/>
        </w:rPr>
        <w:t>202</w:t>
      </w:r>
      <w:r>
        <w:rPr>
          <w:rFonts w:hint="eastAsia" w:ascii="宋体" w:hAnsi="宋体" w:eastAsia="宋体" w:cs="宋体"/>
          <w:color w:val="333333"/>
          <w:shd w:val="clear" w:color="auto" w:fill="FFFFFF"/>
          <w:lang w:val="en-US" w:eastAsia="zh-CN"/>
        </w:rPr>
        <w:t>5</w:t>
      </w:r>
      <w:r>
        <w:rPr>
          <w:rFonts w:hint="eastAsia" w:ascii="宋体" w:hAnsi="宋体" w:eastAsia="宋体" w:cs="宋体"/>
          <w:color w:val="333333"/>
          <w:shd w:val="clear" w:color="auto" w:fill="FFFFFF"/>
        </w:rPr>
        <w:t>年网络工程专业中本贯通转段考试的学生。专业技能水平考试是中本贯通学生中职阶段学成后，必须参加的转段考试中的一部分。主要目的是考核学生的基础理论知识、职业素养、专业操作知识与技能的综合运用能力。</w:t>
      </w:r>
    </w:p>
    <w:p w14:paraId="02CDCD8F">
      <w:pPr>
        <w:pStyle w:val="5"/>
        <w:widowControl/>
        <w:spacing w:beforeAutospacing="0" w:after="150" w:afterAutospacing="0" w:line="315" w:lineRule="atLeast"/>
        <w:rPr>
          <w:color w:val="333333"/>
          <w:sz w:val="21"/>
          <w:szCs w:val="21"/>
        </w:rPr>
      </w:pPr>
      <w:r>
        <w:rPr>
          <w:rStyle w:val="8"/>
          <w:rFonts w:hint="eastAsia" w:ascii="宋体" w:hAnsi="宋体" w:eastAsia="宋体" w:cs="宋体"/>
          <w:color w:val="333333"/>
          <w:sz w:val="28"/>
          <w:szCs w:val="28"/>
          <w:shd w:val="clear" w:color="auto" w:fill="FFFFFF"/>
        </w:rPr>
        <w:t>二、考试总体要求</w:t>
      </w:r>
    </w:p>
    <w:p w14:paraId="2C53AB83">
      <w:pPr>
        <w:pStyle w:val="5"/>
        <w:widowControl/>
        <w:spacing w:beforeAutospacing="0" w:after="150" w:afterAutospacing="0" w:line="360" w:lineRule="auto"/>
        <w:ind w:firstLine="480"/>
        <w:rPr>
          <w:rFonts w:ascii="宋体" w:hAnsi="宋体" w:eastAsia="宋体" w:cs="宋体"/>
          <w:color w:val="333333"/>
          <w:shd w:val="clear" w:color="auto" w:fill="FFFFFF"/>
        </w:rPr>
      </w:pPr>
      <w:bookmarkStart w:id="2" w:name="_Toc505612785"/>
      <w:r>
        <w:rPr>
          <w:rFonts w:hint="eastAsia" w:ascii="宋体" w:hAnsi="宋体" w:eastAsia="宋体" w:cs="宋体"/>
          <w:color w:val="333333"/>
          <w:shd w:val="clear" w:color="auto" w:fill="FFFFFF"/>
        </w:rPr>
        <w:t>专业技能水平考试总分为300分，其中：专业基础理论考试150分、专业技能操作考试150分。</w:t>
      </w:r>
    </w:p>
    <w:p w14:paraId="0DA355FB">
      <w:pPr>
        <w:pStyle w:val="5"/>
        <w:widowControl/>
        <w:spacing w:beforeAutospacing="0" w:after="150" w:afterAutospacing="0" w:line="360" w:lineRule="auto"/>
        <w:ind w:firstLine="480"/>
        <w:rPr>
          <w:rFonts w:ascii="宋体" w:hAnsi="宋体" w:eastAsia="宋体" w:cs="宋体"/>
          <w:b/>
          <w:bCs/>
          <w:color w:val="333333"/>
          <w:shd w:val="clear" w:color="auto" w:fill="FFFFFF"/>
        </w:rPr>
      </w:pPr>
      <w:r>
        <w:rPr>
          <w:rFonts w:hint="eastAsia" w:ascii="宋体" w:hAnsi="宋体" w:eastAsia="宋体" w:cs="宋体"/>
          <w:b/>
          <w:bCs/>
          <w:color w:val="333333"/>
          <w:shd w:val="clear" w:color="auto" w:fill="FFFFFF"/>
        </w:rPr>
        <w:t xml:space="preserve">1.专业基础理论考试  </w:t>
      </w:r>
    </w:p>
    <w:p w14:paraId="2CA4B70A">
      <w:pPr>
        <w:pStyle w:val="5"/>
        <w:widowControl/>
        <w:spacing w:beforeAutospacing="0" w:after="150" w:afterAutospacing="0" w:line="360" w:lineRule="auto"/>
        <w:ind w:firstLine="480"/>
        <w:rPr>
          <w:rFonts w:ascii="宋体" w:hAnsi="宋体" w:eastAsia="宋体" w:cs="宋体"/>
          <w:color w:val="333333"/>
          <w:shd w:val="clear" w:color="auto" w:fill="FFFFFF"/>
        </w:rPr>
      </w:pPr>
      <w:r>
        <w:rPr>
          <w:rFonts w:hint="eastAsia" w:ascii="宋体" w:hAnsi="宋体" w:eastAsia="宋体" w:cs="宋体"/>
          <w:color w:val="333333"/>
          <w:shd w:val="clear" w:color="auto" w:fill="FFFFFF"/>
        </w:rPr>
        <w:t>（1）专业基础理论考试满分150分，采用闭卷笔试方式，考试时间为120分钟。</w:t>
      </w:r>
    </w:p>
    <w:p w14:paraId="3F50B648">
      <w:pPr>
        <w:pStyle w:val="5"/>
        <w:widowControl/>
        <w:spacing w:beforeAutospacing="0" w:after="150" w:afterAutospacing="0" w:line="360" w:lineRule="auto"/>
        <w:ind w:firstLine="480"/>
        <w:rPr>
          <w:rFonts w:ascii="宋体" w:hAnsi="宋体" w:eastAsia="宋体" w:cs="宋体"/>
          <w:color w:val="333333"/>
          <w:shd w:val="clear" w:color="auto" w:fill="FFFFFF"/>
        </w:rPr>
      </w:pPr>
      <w:r>
        <w:rPr>
          <w:rFonts w:hint="eastAsia" w:ascii="宋体" w:hAnsi="宋体" w:eastAsia="宋体" w:cs="宋体"/>
          <w:color w:val="333333"/>
          <w:shd w:val="clear" w:color="auto" w:fill="FFFFFF"/>
        </w:rPr>
        <w:t xml:space="preserve">（2）考试内容主要包括计算机网络技术、网络互联、网络组建和网络系统安全等基础知识及其应用。  </w:t>
      </w:r>
    </w:p>
    <w:p w14:paraId="088AA9E9">
      <w:pPr>
        <w:pStyle w:val="5"/>
        <w:widowControl/>
        <w:spacing w:beforeAutospacing="0" w:after="150" w:afterAutospacing="0" w:line="360" w:lineRule="auto"/>
        <w:ind w:firstLine="480"/>
        <w:rPr>
          <w:rFonts w:ascii="宋体" w:hAnsi="宋体" w:eastAsia="宋体" w:cs="宋体"/>
          <w:color w:val="333333"/>
          <w:shd w:val="clear" w:color="auto" w:fill="FFFFFF"/>
        </w:rPr>
      </w:pPr>
      <w:r>
        <w:rPr>
          <w:rFonts w:hint="eastAsia" w:ascii="宋体" w:hAnsi="宋体" w:eastAsia="宋体" w:cs="宋体"/>
          <w:color w:val="333333"/>
          <w:shd w:val="clear" w:color="auto" w:fill="FFFFFF"/>
        </w:rPr>
        <w:t xml:space="preserve">（3）考试题型包括：单项选择题、多项选择题、判断题、填空题、简答题、综合应用题等。 </w:t>
      </w:r>
    </w:p>
    <w:p w14:paraId="39B19433">
      <w:pPr>
        <w:pStyle w:val="5"/>
        <w:widowControl/>
        <w:spacing w:beforeAutospacing="0" w:after="150" w:afterAutospacing="0" w:line="360" w:lineRule="auto"/>
        <w:ind w:firstLine="480"/>
        <w:rPr>
          <w:rFonts w:ascii="宋体" w:hAnsi="宋体" w:eastAsia="宋体" w:cs="宋体"/>
          <w:b/>
          <w:bCs/>
          <w:color w:val="333333"/>
          <w:shd w:val="clear" w:color="auto" w:fill="FFFFFF"/>
        </w:rPr>
      </w:pPr>
      <w:r>
        <w:rPr>
          <w:rFonts w:hint="eastAsia" w:ascii="宋体" w:hAnsi="宋体" w:eastAsia="宋体" w:cs="宋体"/>
          <w:b/>
          <w:bCs/>
          <w:color w:val="333333"/>
          <w:shd w:val="clear" w:color="auto" w:fill="FFFFFF"/>
        </w:rPr>
        <w:t xml:space="preserve">2.专业技能操作考试  </w:t>
      </w:r>
    </w:p>
    <w:p w14:paraId="4CB5DB8E">
      <w:pPr>
        <w:pStyle w:val="5"/>
        <w:widowControl/>
        <w:spacing w:beforeAutospacing="0" w:after="150" w:afterAutospacing="0" w:line="360" w:lineRule="auto"/>
        <w:ind w:firstLine="480"/>
        <w:rPr>
          <w:rFonts w:ascii="宋体" w:hAnsi="宋体" w:eastAsia="宋体" w:cs="宋体"/>
          <w:color w:val="333333"/>
          <w:shd w:val="clear" w:color="auto" w:fill="FFFFFF"/>
        </w:rPr>
      </w:pPr>
      <w:r>
        <w:rPr>
          <w:rFonts w:hint="eastAsia" w:ascii="宋体" w:hAnsi="宋体" w:eastAsia="宋体" w:cs="宋体"/>
          <w:color w:val="333333"/>
          <w:shd w:val="clear" w:color="auto" w:fill="FFFFFF"/>
        </w:rPr>
        <w:t xml:space="preserve">（1）专业技能操作考试满分150分，在网络模拟环境中进行专业技能操作考核，考试时间为90分钟。  </w:t>
      </w:r>
    </w:p>
    <w:p w14:paraId="448CB82F">
      <w:pPr>
        <w:pStyle w:val="5"/>
        <w:widowControl/>
        <w:spacing w:beforeAutospacing="0" w:after="150" w:afterAutospacing="0" w:line="360" w:lineRule="auto"/>
        <w:ind w:firstLine="480"/>
        <w:rPr>
          <w:rFonts w:ascii="宋体" w:hAnsi="宋体" w:eastAsia="宋体" w:cs="宋体"/>
          <w:color w:val="333333"/>
          <w:shd w:val="clear" w:color="auto" w:fill="FFFFFF"/>
        </w:rPr>
      </w:pPr>
      <w:r>
        <w:rPr>
          <w:rFonts w:hint="eastAsia" w:ascii="宋体" w:hAnsi="宋体" w:eastAsia="宋体" w:cs="宋体"/>
          <w:color w:val="333333"/>
          <w:shd w:val="clear" w:color="auto" w:fill="FFFFFF"/>
        </w:rPr>
        <w:t xml:space="preserve">（2）考试内容：根据给定要求在网络模拟环境中应用网络互联设备完成网络组建任务。网络模拟环境为Cisco Packet Tracer 6.2。  </w:t>
      </w:r>
    </w:p>
    <w:p w14:paraId="624E7D6C">
      <w:pPr>
        <w:pStyle w:val="5"/>
        <w:widowControl/>
        <w:spacing w:beforeAutospacing="0" w:after="150" w:afterAutospacing="0" w:line="360" w:lineRule="auto"/>
        <w:ind w:firstLine="480"/>
        <w:rPr>
          <w:rFonts w:ascii="宋体" w:hAnsi="宋体" w:eastAsia="宋体" w:cs="宋体"/>
          <w:color w:val="333333"/>
          <w:shd w:val="clear" w:color="auto" w:fill="FFFFFF"/>
        </w:rPr>
      </w:pPr>
      <w:r>
        <w:rPr>
          <w:rFonts w:hint="eastAsia" w:ascii="宋体" w:hAnsi="宋体" w:eastAsia="宋体" w:cs="宋体"/>
          <w:color w:val="333333"/>
          <w:shd w:val="clear" w:color="auto" w:fill="FFFFFF"/>
        </w:rPr>
        <w:t xml:space="preserve">考核目标：考核学生熟悉各类网络互联设备的特点，针对性地搭建网络拓扑结构、熟练地配置网络互联设备、组建并测试网络的能力。  </w:t>
      </w:r>
    </w:p>
    <w:p w14:paraId="48717BAA">
      <w:pPr>
        <w:pStyle w:val="5"/>
        <w:widowControl/>
        <w:spacing w:beforeAutospacing="0" w:after="150" w:afterAutospacing="0" w:line="360" w:lineRule="auto"/>
        <w:ind w:firstLine="480"/>
        <w:rPr>
          <w:rFonts w:ascii="宋体" w:hAnsi="宋体" w:eastAsia="宋体" w:cs="宋体"/>
          <w:color w:val="333333"/>
          <w:shd w:val="clear" w:color="auto" w:fill="FFFFFF"/>
        </w:rPr>
      </w:pPr>
      <w:r>
        <w:rPr>
          <w:rFonts w:hint="eastAsia" w:ascii="宋体" w:hAnsi="宋体" w:eastAsia="宋体" w:cs="宋体"/>
          <w:color w:val="333333"/>
          <w:shd w:val="clear" w:color="auto" w:fill="FFFFFF"/>
        </w:rPr>
        <w:t xml:space="preserve">考试内容与形式：根据要求使用网络模拟软件完成网络组建任务。  </w:t>
      </w:r>
    </w:p>
    <w:p w14:paraId="2A34050F">
      <w:pPr>
        <w:pStyle w:val="5"/>
        <w:widowControl/>
        <w:spacing w:beforeAutospacing="0" w:after="150" w:afterAutospacing="0" w:line="360" w:lineRule="auto"/>
        <w:ind w:firstLine="480"/>
        <w:rPr>
          <w:rFonts w:ascii="宋体" w:hAnsi="宋体" w:eastAsia="宋体" w:cs="宋体"/>
          <w:color w:val="333333"/>
          <w:shd w:val="clear" w:color="auto" w:fill="FFFFFF"/>
        </w:rPr>
      </w:pPr>
      <w:r>
        <w:rPr>
          <w:rFonts w:hint="eastAsia" w:ascii="宋体" w:hAnsi="宋体" w:eastAsia="宋体" w:cs="宋体"/>
          <w:color w:val="333333"/>
          <w:shd w:val="clear" w:color="auto" w:fill="FFFFFF"/>
        </w:rPr>
        <w:t xml:space="preserve">（3）以技能大赛代技能操作考试  </w:t>
      </w:r>
    </w:p>
    <w:p w14:paraId="12AAA35E">
      <w:pPr>
        <w:pStyle w:val="5"/>
        <w:widowControl/>
        <w:spacing w:beforeAutospacing="0" w:after="150" w:afterAutospacing="0" w:line="360" w:lineRule="auto"/>
        <w:ind w:firstLine="480"/>
        <w:rPr>
          <w:rFonts w:ascii="宋体" w:hAnsi="宋体" w:eastAsia="宋体" w:cs="宋体"/>
          <w:color w:val="333333"/>
          <w:shd w:val="clear" w:color="auto" w:fill="FFFFFF"/>
        </w:rPr>
      </w:pPr>
      <w:r>
        <w:rPr>
          <w:rFonts w:hint="eastAsia" w:ascii="宋体" w:hAnsi="宋体" w:eastAsia="宋体" w:cs="宋体"/>
          <w:color w:val="333333"/>
          <w:shd w:val="clear" w:color="auto" w:fill="FFFFFF"/>
        </w:rPr>
        <w:t>在上海市“星光计划”职业院校技能大赛及全国职业院校技能大赛中获奖的考生，可用竞赛成绩代替专业技能操作考试，成绩对应关系如表1所示，由考生将获奖证书原件拍照上传，申请办法详见（4）。</w:t>
      </w:r>
    </w:p>
    <w:p w14:paraId="29B9D66D">
      <w:pPr>
        <w:widowControl/>
        <w:shd w:val="clear" w:color="auto" w:fill="FFFFFF"/>
        <w:spacing w:before="100" w:beforeAutospacing="1" w:after="90" w:line="315" w:lineRule="atLeast"/>
        <w:jc w:val="center"/>
        <w:rPr>
          <w:rFonts w:ascii="微软雅黑" w:hAnsi="微软雅黑" w:eastAsia="微软雅黑" w:cs="宋体"/>
          <w:color w:val="333333"/>
          <w:kern w:val="0"/>
          <w:szCs w:val="21"/>
        </w:rPr>
      </w:pPr>
      <w:r>
        <w:rPr>
          <w:rFonts w:hint="eastAsia" w:ascii="宋体" w:hAnsi="宋体" w:eastAsia="宋体" w:cs="宋体"/>
          <w:color w:val="333333"/>
          <w:kern w:val="0"/>
          <w:sz w:val="24"/>
        </w:rPr>
        <w:t>表1 竞赛奖项代替专业技能考试成绩对应表</w:t>
      </w:r>
    </w:p>
    <w:tbl>
      <w:tblPr>
        <w:tblStyle w:val="6"/>
        <w:tblW w:w="0" w:type="auto"/>
        <w:jc w:val="center"/>
        <w:shd w:val="clear" w:color="auto" w:fill="FFFFFF"/>
        <w:tblLayout w:type="autofit"/>
        <w:tblCellMar>
          <w:top w:w="0" w:type="dxa"/>
          <w:left w:w="0" w:type="dxa"/>
          <w:bottom w:w="0" w:type="dxa"/>
          <w:right w:w="0" w:type="dxa"/>
        </w:tblCellMar>
      </w:tblPr>
      <w:tblGrid>
        <w:gridCol w:w="1881"/>
        <w:gridCol w:w="1881"/>
        <w:gridCol w:w="1881"/>
        <w:gridCol w:w="1881"/>
      </w:tblGrid>
      <w:tr w14:paraId="224C52D0">
        <w:tblPrEx>
          <w:shd w:val="clear" w:color="auto" w:fill="FFFFFF"/>
          <w:tblCellMar>
            <w:top w:w="0" w:type="dxa"/>
            <w:left w:w="0" w:type="dxa"/>
            <w:bottom w:w="0" w:type="dxa"/>
            <w:right w:w="0" w:type="dxa"/>
          </w:tblCellMar>
        </w:tblPrEx>
        <w:trPr>
          <w:trHeight w:val="349" w:hRule="atLeast"/>
          <w:jc w:val="center"/>
        </w:trPr>
        <w:tc>
          <w:tcPr>
            <w:tcW w:w="188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963DEC0">
            <w:pPr>
              <w:widowControl/>
              <w:spacing w:before="100" w:beforeAutospacing="1" w:after="90" w:line="315" w:lineRule="atLeast"/>
              <w:jc w:val="center"/>
              <w:rPr>
                <w:rFonts w:ascii="微软雅黑" w:hAnsi="微软雅黑" w:eastAsia="微软雅黑" w:cs="宋体"/>
                <w:color w:val="333333"/>
                <w:kern w:val="0"/>
                <w:szCs w:val="21"/>
              </w:rPr>
            </w:pPr>
            <w:r>
              <w:rPr>
                <w:rFonts w:hint="eastAsia" w:ascii="宋体" w:hAnsi="宋体" w:eastAsia="宋体" w:cs="宋体"/>
                <w:color w:val="333333"/>
                <w:kern w:val="0"/>
                <w:sz w:val="24"/>
              </w:rPr>
              <w:t> </w:t>
            </w:r>
          </w:p>
        </w:tc>
        <w:tc>
          <w:tcPr>
            <w:tcW w:w="1881"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7654CB5">
            <w:pPr>
              <w:widowControl/>
              <w:spacing w:before="100" w:beforeAutospacing="1" w:after="90" w:line="315" w:lineRule="atLeast"/>
              <w:jc w:val="center"/>
              <w:rPr>
                <w:rFonts w:ascii="微软雅黑" w:hAnsi="微软雅黑" w:eastAsia="微软雅黑" w:cs="宋体"/>
                <w:color w:val="333333"/>
                <w:kern w:val="0"/>
                <w:szCs w:val="21"/>
              </w:rPr>
            </w:pPr>
            <w:r>
              <w:rPr>
                <w:rFonts w:hint="eastAsia" w:ascii="宋体" w:hAnsi="宋体" w:eastAsia="宋体" w:cs="宋体"/>
                <w:color w:val="333333"/>
                <w:kern w:val="0"/>
                <w:sz w:val="24"/>
              </w:rPr>
              <w:t>一等奖</w:t>
            </w:r>
          </w:p>
        </w:tc>
        <w:tc>
          <w:tcPr>
            <w:tcW w:w="1881"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43C973E">
            <w:pPr>
              <w:widowControl/>
              <w:spacing w:before="100" w:beforeAutospacing="1" w:after="90" w:line="315" w:lineRule="atLeast"/>
              <w:jc w:val="center"/>
              <w:rPr>
                <w:rFonts w:ascii="微软雅黑" w:hAnsi="微软雅黑" w:eastAsia="微软雅黑" w:cs="宋体"/>
                <w:color w:val="333333"/>
                <w:kern w:val="0"/>
                <w:szCs w:val="21"/>
              </w:rPr>
            </w:pPr>
            <w:r>
              <w:rPr>
                <w:rFonts w:hint="eastAsia" w:ascii="宋体" w:hAnsi="宋体" w:eastAsia="宋体" w:cs="宋体"/>
                <w:color w:val="333333"/>
                <w:kern w:val="0"/>
                <w:sz w:val="24"/>
              </w:rPr>
              <w:t>二等奖</w:t>
            </w:r>
          </w:p>
        </w:tc>
        <w:tc>
          <w:tcPr>
            <w:tcW w:w="1881"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382F70C">
            <w:pPr>
              <w:widowControl/>
              <w:spacing w:before="100" w:beforeAutospacing="1" w:after="90" w:line="315" w:lineRule="atLeast"/>
              <w:jc w:val="center"/>
              <w:rPr>
                <w:rFonts w:ascii="微软雅黑" w:hAnsi="微软雅黑" w:eastAsia="微软雅黑" w:cs="宋体"/>
                <w:color w:val="333333"/>
                <w:kern w:val="0"/>
                <w:szCs w:val="21"/>
              </w:rPr>
            </w:pPr>
            <w:r>
              <w:rPr>
                <w:rFonts w:hint="eastAsia" w:ascii="宋体" w:hAnsi="宋体" w:eastAsia="宋体" w:cs="宋体"/>
                <w:color w:val="333333"/>
                <w:kern w:val="0"/>
                <w:sz w:val="24"/>
              </w:rPr>
              <w:t>三等奖</w:t>
            </w:r>
          </w:p>
        </w:tc>
      </w:tr>
      <w:tr w14:paraId="6C6B372E">
        <w:tblPrEx>
          <w:shd w:val="clear" w:color="auto" w:fill="FFFFFF"/>
          <w:tblCellMar>
            <w:top w:w="0" w:type="dxa"/>
            <w:left w:w="0" w:type="dxa"/>
            <w:bottom w:w="0" w:type="dxa"/>
            <w:right w:w="0" w:type="dxa"/>
          </w:tblCellMar>
        </w:tblPrEx>
        <w:trPr>
          <w:trHeight w:val="894" w:hRule="atLeast"/>
          <w:jc w:val="center"/>
        </w:trPr>
        <w:tc>
          <w:tcPr>
            <w:tcW w:w="188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511CC07">
            <w:pPr>
              <w:widowControl/>
              <w:spacing w:before="100" w:beforeAutospacing="1" w:after="90" w:line="315" w:lineRule="atLeast"/>
              <w:jc w:val="center"/>
              <w:rPr>
                <w:rFonts w:ascii="微软雅黑" w:hAnsi="微软雅黑" w:eastAsia="微软雅黑" w:cs="宋体"/>
                <w:color w:val="333333"/>
                <w:kern w:val="0"/>
                <w:szCs w:val="21"/>
              </w:rPr>
            </w:pPr>
            <w:r>
              <w:rPr>
                <w:rFonts w:hint="eastAsia" w:ascii="宋体" w:hAnsi="宋体" w:eastAsia="宋体" w:cs="宋体"/>
                <w:color w:val="333333"/>
                <w:kern w:val="0"/>
                <w:sz w:val="24"/>
              </w:rPr>
              <w:t>上海市“星光计划”职业院校技能大赛</w:t>
            </w:r>
          </w:p>
        </w:tc>
        <w:tc>
          <w:tcPr>
            <w:tcW w:w="188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6CD19E8">
            <w:pPr>
              <w:widowControl/>
              <w:spacing w:before="100" w:beforeAutospacing="1" w:after="90" w:line="315" w:lineRule="atLeast"/>
              <w:jc w:val="center"/>
              <w:rPr>
                <w:rFonts w:ascii="微软雅黑" w:hAnsi="微软雅黑" w:eastAsia="微软雅黑" w:cs="宋体"/>
                <w:color w:val="333333"/>
                <w:kern w:val="0"/>
                <w:szCs w:val="21"/>
              </w:rPr>
            </w:pPr>
            <w:r>
              <w:rPr>
                <w:rFonts w:hint="eastAsia" w:ascii="宋体" w:hAnsi="宋体" w:eastAsia="宋体" w:cs="宋体"/>
                <w:color w:val="333333"/>
                <w:kern w:val="0"/>
                <w:sz w:val="24"/>
              </w:rPr>
              <w:t>130</w:t>
            </w:r>
          </w:p>
        </w:tc>
        <w:tc>
          <w:tcPr>
            <w:tcW w:w="188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567D2AB">
            <w:pPr>
              <w:widowControl/>
              <w:spacing w:before="100" w:beforeAutospacing="1" w:after="90" w:line="315" w:lineRule="atLeast"/>
              <w:jc w:val="center"/>
              <w:rPr>
                <w:rFonts w:ascii="微软雅黑" w:hAnsi="微软雅黑" w:eastAsia="微软雅黑" w:cs="宋体"/>
                <w:color w:val="333333"/>
                <w:kern w:val="0"/>
                <w:szCs w:val="21"/>
              </w:rPr>
            </w:pPr>
            <w:r>
              <w:rPr>
                <w:rFonts w:hint="eastAsia" w:ascii="宋体" w:hAnsi="宋体" w:eastAsia="宋体" w:cs="宋体"/>
                <w:color w:val="333333"/>
                <w:kern w:val="0"/>
                <w:sz w:val="24"/>
              </w:rPr>
              <w:t>110</w:t>
            </w:r>
          </w:p>
        </w:tc>
        <w:tc>
          <w:tcPr>
            <w:tcW w:w="188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B09A77C">
            <w:pPr>
              <w:widowControl/>
              <w:spacing w:before="100" w:beforeAutospacing="1" w:after="90" w:line="315" w:lineRule="atLeast"/>
              <w:jc w:val="center"/>
              <w:rPr>
                <w:rFonts w:ascii="微软雅黑" w:hAnsi="微软雅黑" w:eastAsia="微软雅黑" w:cs="宋体"/>
                <w:color w:val="333333"/>
                <w:kern w:val="0"/>
                <w:szCs w:val="21"/>
              </w:rPr>
            </w:pPr>
            <w:r>
              <w:rPr>
                <w:rFonts w:hint="eastAsia" w:ascii="宋体" w:hAnsi="宋体" w:eastAsia="宋体" w:cs="宋体"/>
                <w:color w:val="333333"/>
                <w:kern w:val="0"/>
                <w:sz w:val="24"/>
              </w:rPr>
              <w:t>90</w:t>
            </w:r>
          </w:p>
        </w:tc>
      </w:tr>
      <w:tr w14:paraId="438DCF84">
        <w:tblPrEx>
          <w:shd w:val="clear" w:color="auto" w:fill="FFFFFF"/>
          <w:tblCellMar>
            <w:top w:w="0" w:type="dxa"/>
            <w:left w:w="0" w:type="dxa"/>
            <w:bottom w:w="0" w:type="dxa"/>
            <w:right w:w="0" w:type="dxa"/>
          </w:tblCellMar>
        </w:tblPrEx>
        <w:trPr>
          <w:trHeight w:val="622" w:hRule="atLeast"/>
          <w:jc w:val="center"/>
        </w:trPr>
        <w:tc>
          <w:tcPr>
            <w:tcW w:w="188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830D8B8">
            <w:pPr>
              <w:widowControl/>
              <w:spacing w:before="100" w:beforeAutospacing="1" w:after="90" w:line="315" w:lineRule="atLeast"/>
              <w:jc w:val="center"/>
              <w:rPr>
                <w:rFonts w:ascii="微软雅黑" w:hAnsi="微软雅黑" w:eastAsia="微软雅黑" w:cs="宋体"/>
                <w:color w:val="333333"/>
                <w:kern w:val="0"/>
                <w:szCs w:val="21"/>
              </w:rPr>
            </w:pPr>
            <w:r>
              <w:rPr>
                <w:rFonts w:hint="eastAsia" w:ascii="宋体" w:hAnsi="宋体" w:eastAsia="宋体" w:cs="宋体"/>
                <w:color w:val="333333"/>
                <w:kern w:val="0"/>
                <w:sz w:val="24"/>
              </w:rPr>
              <w:t>全国职业院校技能大赛</w:t>
            </w:r>
          </w:p>
        </w:tc>
        <w:tc>
          <w:tcPr>
            <w:tcW w:w="188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4F6F22C">
            <w:pPr>
              <w:widowControl/>
              <w:spacing w:before="100" w:beforeAutospacing="1" w:after="90" w:line="315" w:lineRule="atLeast"/>
              <w:jc w:val="center"/>
              <w:rPr>
                <w:rFonts w:ascii="微软雅黑" w:hAnsi="微软雅黑" w:eastAsia="微软雅黑" w:cs="宋体"/>
                <w:color w:val="333333"/>
                <w:kern w:val="0"/>
                <w:szCs w:val="21"/>
              </w:rPr>
            </w:pPr>
            <w:r>
              <w:rPr>
                <w:rFonts w:hint="eastAsia" w:ascii="宋体" w:hAnsi="宋体" w:eastAsia="宋体" w:cs="宋体"/>
                <w:color w:val="333333"/>
                <w:kern w:val="0"/>
                <w:sz w:val="24"/>
              </w:rPr>
              <w:t>150</w:t>
            </w:r>
          </w:p>
        </w:tc>
        <w:tc>
          <w:tcPr>
            <w:tcW w:w="188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0B547F9">
            <w:pPr>
              <w:widowControl/>
              <w:spacing w:before="100" w:beforeAutospacing="1" w:after="90" w:line="315" w:lineRule="atLeast"/>
              <w:jc w:val="center"/>
              <w:rPr>
                <w:rFonts w:ascii="微软雅黑" w:hAnsi="微软雅黑" w:eastAsia="微软雅黑" w:cs="宋体"/>
                <w:color w:val="333333"/>
                <w:kern w:val="0"/>
                <w:szCs w:val="21"/>
              </w:rPr>
            </w:pPr>
            <w:r>
              <w:rPr>
                <w:rFonts w:hint="eastAsia" w:ascii="宋体" w:hAnsi="宋体" w:eastAsia="宋体" w:cs="宋体"/>
                <w:color w:val="333333"/>
                <w:kern w:val="0"/>
                <w:sz w:val="24"/>
              </w:rPr>
              <w:t>130</w:t>
            </w:r>
          </w:p>
        </w:tc>
        <w:tc>
          <w:tcPr>
            <w:tcW w:w="188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596C198">
            <w:pPr>
              <w:widowControl/>
              <w:spacing w:before="100" w:beforeAutospacing="1" w:after="90" w:line="315" w:lineRule="atLeast"/>
              <w:jc w:val="center"/>
              <w:rPr>
                <w:rFonts w:ascii="微软雅黑" w:hAnsi="微软雅黑" w:eastAsia="微软雅黑" w:cs="宋体"/>
                <w:color w:val="333333"/>
                <w:kern w:val="0"/>
                <w:szCs w:val="21"/>
              </w:rPr>
            </w:pPr>
            <w:r>
              <w:rPr>
                <w:rFonts w:hint="eastAsia" w:ascii="宋体" w:hAnsi="宋体" w:eastAsia="宋体" w:cs="宋体"/>
                <w:color w:val="333333"/>
                <w:kern w:val="0"/>
                <w:sz w:val="24"/>
              </w:rPr>
              <w:t>110</w:t>
            </w:r>
          </w:p>
        </w:tc>
      </w:tr>
    </w:tbl>
    <w:p w14:paraId="366A6865">
      <w:pPr>
        <w:pStyle w:val="5"/>
        <w:widowControl/>
        <w:spacing w:beforeAutospacing="0" w:after="150" w:afterAutospacing="0" w:line="360" w:lineRule="auto"/>
        <w:ind w:firstLine="480"/>
        <w:rPr>
          <w:rFonts w:ascii="宋体" w:hAnsi="宋体" w:eastAsia="宋体" w:cs="宋体"/>
          <w:color w:val="333333"/>
          <w:shd w:val="clear" w:color="auto" w:fill="FFFFFF"/>
        </w:rPr>
      </w:pPr>
      <w:r>
        <w:rPr>
          <w:rFonts w:hint="eastAsia" w:ascii="宋体" w:hAnsi="宋体" w:eastAsia="宋体" w:cs="宋体"/>
          <w:color w:val="333333"/>
          <w:shd w:val="clear" w:color="auto" w:fill="FFFFFF"/>
        </w:rPr>
        <w:t>（4）竞赛奖项证书提交办法</w:t>
      </w:r>
    </w:p>
    <w:p w14:paraId="662142BE">
      <w:pPr>
        <w:pStyle w:val="5"/>
        <w:widowControl/>
        <w:spacing w:beforeAutospacing="0" w:after="150" w:afterAutospacing="0" w:line="360" w:lineRule="auto"/>
        <w:ind w:firstLine="480"/>
        <w:rPr>
          <w:rFonts w:ascii="宋体" w:hAnsi="宋体" w:eastAsia="宋体" w:cs="宋体"/>
          <w:color w:val="333333"/>
          <w:shd w:val="clear" w:color="auto" w:fill="FFFFFF"/>
        </w:rPr>
      </w:pPr>
      <w:r>
        <w:rPr>
          <w:rFonts w:hint="eastAsia" w:ascii="宋体" w:hAnsi="宋体" w:eastAsia="宋体" w:cs="宋体"/>
          <w:color w:val="333333"/>
          <w:shd w:val="clear" w:color="auto" w:fill="FFFFFF"/>
        </w:rPr>
        <w:t xml:space="preserve"> </w:t>
      </w:r>
      <w:r>
        <w:rPr>
          <w:rFonts w:ascii="宋体" w:hAnsi="宋体" w:eastAsia="宋体" w:cs="宋体"/>
          <w:color w:val="333333"/>
          <w:shd w:val="clear" w:color="auto" w:fill="FFFFFF"/>
        </w:rPr>
        <w:t xml:space="preserve"> </w:t>
      </w:r>
      <w:r>
        <w:rPr>
          <w:rFonts w:hint="eastAsia" w:ascii="宋体" w:hAnsi="宋体" w:eastAsia="宋体" w:cs="宋体"/>
          <w:color w:val="333333"/>
          <w:shd w:val="clear" w:color="auto" w:fill="FFFFFF"/>
        </w:rPr>
        <w:t>①证书提交时间：20</w:t>
      </w:r>
      <w:r>
        <w:rPr>
          <w:rFonts w:ascii="宋体" w:hAnsi="宋体" w:eastAsia="宋体" w:cs="宋体"/>
          <w:color w:val="333333"/>
          <w:shd w:val="clear" w:color="auto" w:fill="FFFFFF"/>
        </w:rPr>
        <w:t>2</w:t>
      </w:r>
      <w:r>
        <w:rPr>
          <w:rFonts w:hint="eastAsia" w:ascii="宋体" w:hAnsi="宋体" w:eastAsia="宋体" w:cs="宋体"/>
          <w:color w:val="333333"/>
          <w:shd w:val="clear" w:color="auto" w:fill="FFFFFF"/>
          <w:lang w:val="en-US" w:eastAsia="zh-CN"/>
        </w:rPr>
        <w:t>5</w:t>
      </w:r>
      <w:r>
        <w:rPr>
          <w:rFonts w:hint="eastAsia" w:ascii="宋体" w:hAnsi="宋体" w:eastAsia="宋体" w:cs="宋体"/>
          <w:color w:val="333333"/>
          <w:shd w:val="clear" w:color="auto" w:fill="FFFFFF"/>
        </w:rPr>
        <w:t>年</w:t>
      </w:r>
      <w:r>
        <w:rPr>
          <w:rFonts w:ascii="宋体" w:hAnsi="宋体" w:eastAsia="宋体" w:cs="宋体"/>
          <w:color w:val="333333"/>
          <w:shd w:val="clear" w:color="auto" w:fill="FFFFFF"/>
        </w:rPr>
        <w:t>5</w:t>
      </w:r>
      <w:r>
        <w:rPr>
          <w:rFonts w:hint="eastAsia" w:ascii="宋体" w:hAnsi="宋体" w:eastAsia="宋体" w:cs="宋体"/>
          <w:color w:val="333333"/>
          <w:shd w:val="clear" w:color="auto" w:fill="FFFFFF"/>
        </w:rPr>
        <w:t>月</w:t>
      </w:r>
      <w:r>
        <w:rPr>
          <w:rFonts w:ascii="宋体" w:hAnsi="宋体" w:eastAsia="宋体" w:cs="宋体"/>
          <w:color w:val="333333"/>
          <w:shd w:val="clear" w:color="auto" w:fill="FFFFFF"/>
        </w:rPr>
        <w:t>1</w:t>
      </w:r>
      <w:r>
        <w:rPr>
          <w:rFonts w:hint="eastAsia" w:ascii="宋体" w:hAnsi="宋体" w:eastAsia="宋体" w:cs="宋体"/>
          <w:color w:val="333333"/>
          <w:shd w:val="clear" w:color="auto" w:fill="FFFFFF"/>
          <w:lang w:val="en-US" w:eastAsia="zh-CN"/>
        </w:rPr>
        <w:t>3</w:t>
      </w:r>
      <w:r>
        <w:rPr>
          <w:rFonts w:hint="eastAsia" w:ascii="宋体" w:hAnsi="宋体" w:eastAsia="宋体" w:cs="宋体"/>
          <w:color w:val="333333"/>
          <w:shd w:val="clear" w:color="auto" w:fill="FFFFFF"/>
        </w:rPr>
        <w:t>日9:</w:t>
      </w:r>
      <w:r>
        <w:rPr>
          <w:rFonts w:ascii="宋体" w:hAnsi="宋体" w:eastAsia="宋体" w:cs="宋体"/>
          <w:color w:val="333333"/>
          <w:shd w:val="clear" w:color="auto" w:fill="FFFFFF"/>
        </w:rPr>
        <w:t>00</w:t>
      </w:r>
      <w:r>
        <w:rPr>
          <w:rFonts w:hint="eastAsia" w:ascii="宋体" w:hAnsi="宋体" w:eastAsia="宋体" w:cs="宋体"/>
          <w:color w:val="333333"/>
          <w:shd w:val="clear" w:color="auto" w:fill="FFFFFF"/>
        </w:rPr>
        <w:t>-</w:t>
      </w:r>
      <w:r>
        <w:rPr>
          <w:rFonts w:ascii="宋体" w:hAnsi="宋体" w:eastAsia="宋体" w:cs="宋体"/>
          <w:color w:val="333333"/>
          <w:shd w:val="clear" w:color="auto" w:fill="FFFFFF"/>
        </w:rPr>
        <w:t>1</w:t>
      </w:r>
      <w:r>
        <w:rPr>
          <w:rFonts w:hint="eastAsia" w:ascii="宋体" w:hAnsi="宋体" w:eastAsia="宋体" w:cs="宋体"/>
          <w:color w:val="333333"/>
          <w:shd w:val="clear" w:color="auto" w:fill="FFFFFF"/>
          <w:lang w:val="en-US" w:eastAsia="zh-CN"/>
        </w:rPr>
        <w:t>6</w:t>
      </w:r>
      <w:r>
        <w:rPr>
          <w:rFonts w:hint="eastAsia" w:ascii="宋体" w:hAnsi="宋体" w:eastAsia="宋体" w:cs="宋体"/>
          <w:color w:val="333333"/>
          <w:shd w:val="clear" w:color="auto" w:fill="FFFFFF"/>
        </w:rPr>
        <w:t>日1</w:t>
      </w:r>
      <w:r>
        <w:rPr>
          <w:rFonts w:ascii="宋体" w:hAnsi="宋体" w:eastAsia="宋体" w:cs="宋体"/>
          <w:color w:val="333333"/>
          <w:shd w:val="clear" w:color="auto" w:fill="FFFFFF"/>
        </w:rPr>
        <w:t>5</w:t>
      </w:r>
      <w:r>
        <w:rPr>
          <w:rFonts w:hint="eastAsia" w:ascii="宋体" w:hAnsi="宋体" w:eastAsia="宋体" w:cs="宋体"/>
          <w:color w:val="333333"/>
          <w:shd w:val="clear" w:color="auto" w:fill="FFFFFF"/>
        </w:rPr>
        <w:t>:</w:t>
      </w:r>
      <w:r>
        <w:rPr>
          <w:rFonts w:ascii="宋体" w:hAnsi="宋体" w:eastAsia="宋体" w:cs="宋体"/>
          <w:color w:val="333333"/>
          <w:shd w:val="clear" w:color="auto" w:fill="FFFFFF"/>
        </w:rPr>
        <w:t>00</w:t>
      </w:r>
      <w:r>
        <w:rPr>
          <w:rFonts w:hint="eastAsia" w:ascii="宋体" w:hAnsi="宋体" w:eastAsia="宋体" w:cs="宋体"/>
          <w:color w:val="333333"/>
          <w:shd w:val="clear" w:color="auto" w:fill="FFFFFF"/>
        </w:rPr>
        <w:t xml:space="preserve">，扫描下面二维码将考生信息和获奖证书原件填写完整，如对申请有疑问可拨打招生办电话：021-58137880。 </w:t>
      </w:r>
    </w:p>
    <w:p w14:paraId="678EC706">
      <w:pPr>
        <w:pStyle w:val="5"/>
        <w:widowControl/>
        <w:spacing w:beforeAutospacing="0" w:after="150" w:afterAutospacing="0" w:line="360" w:lineRule="auto"/>
        <w:ind w:firstLine="720" w:firstLineChars="300"/>
        <w:rPr>
          <w:rFonts w:ascii="宋体" w:hAnsi="宋体" w:eastAsia="宋体" w:cs="宋体"/>
          <w:color w:val="333333"/>
          <w:shd w:val="clear" w:color="auto" w:fill="FFFFFF"/>
        </w:rPr>
      </w:pPr>
      <w:r>
        <w:rPr>
          <w:rFonts w:hint="eastAsia" w:ascii="宋体" w:hAnsi="宋体" w:eastAsia="宋体" w:cs="宋体"/>
          <w:color w:val="333333"/>
          <w:shd w:val="clear" w:color="auto" w:fill="FFFFFF"/>
        </w:rPr>
        <w:t>②证书审核通过后方可代替专业技能操作考试，并以相对应的考试成绩计入总分，审核通过名单将由就读学校通知考生本人。</w:t>
      </w:r>
    </w:p>
    <w:p w14:paraId="1B69148E">
      <w:pPr>
        <w:widowControl/>
        <w:shd w:val="clear" w:color="auto" w:fill="FFFFFF"/>
        <w:spacing w:before="100" w:beforeAutospacing="1" w:after="90" w:line="315" w:lineRule="atLeast"/>
        <w:ind w:firstLine="562" w:firstLineChars="200"/>
        <w:jc w:val="center"/>
        <w:rPr>
          <w:rStyle w:val="8"/>
          <w:sz w:val="28"/>
          <w:szCs w:val="28"/>
          <w:shd w:val="clear" w:color="auto" w:fill="FFFFFF"/>
        </w:rPr>
      </w:pPr>
      <w:r>
        <w:rPr>
          <w:rStyle w:val="8"/>
          <w:rFonts w:hint="eastAsia" w:eastAsiaTheme="minorEastAsia"/>
          <w:sz w:val="28"/>
          <w:szCs w:val="28"/>
          <w:shd w:val="clear" w:color="auto" w:fill="FFFFFF"/>
          <w:lang w:eastAsia="zh-CN"/>
        </w:rPr>
        <w:drawing>
          <wp:anchor distT="0" distB="0" distL="114300" distR="114300" simplePos="0" relativeHeight="251659264" behindDoc="0" locked="0" layoutInCell="1" allowOverlap="1">
            <wp:simplePos x="0" y="0"/>
            <wp:positionH relativeFrom="column">
              <wp:posOffset>1799590</wp:posOffset>
            </wp:positionH>
            <wp:positionV relativeFrom="paragraph">
              <wp:posOffset>76835</wp:posOffset>
            </wp:positionV>
            <wp:extent cx="1800225" cy="1800225"/>
            <wp:effectExtent l="0" t="0" r="9525" b="9525"/>
            <wp:wrapNone/>
            <wp:docPr id="1" name="图片 1"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
                    <pic:cNvPicPr>
                      <a:picLocks noChangeAspect="1"/>
                    </pic:cNvPicPr>
                  </pic:nvPicPr>
                  <pic:blipFill>
                    <a:blip r:embed="rId4"/>
                    <a:stretch>
                      <a:fillRect/>
                    </a:stretch>
                  </pic:blipFill>
                  <pic:spPr>
                    <a:xfrm>
                      <a:off x="0" y="0"/>
                      <a:ext cx="1800225" cy="1800225"/>
                    </a:xfrm>
                    <a:prstGeom prst="rect">
                      <a:avLst/>
                    </a:prstGeom>
                  </pic:spPr>
                </pic:pic>
              </a:graphicData>
            </a:graphic>
          </wp:anchor>
        </w:drawing>
      </w:r>
    </w:p>
    <w:p w14:paraId="0A07F94C">
      <w:pPr>
        <w:widowControl/>
        <w:shd w:val="clear" w:color="auto" w:fill="FFFFFF"/>
        <w:spacing w:before="100" w:beforeAutospacing="1" w:after="90" w:line="315" w:lineRule="atLeast"/>
        <w:ind w:firstLine="562" w:firstLineChars="200"/>
        <w:jc w:val="center"/>
        <w:rPr>
          <w:rStyle w:val="8"/>
          <w:rFonts w:hint="eastAsia" w:eastAsiaTheme="minorEastAsia"/>
          <w:sz w:val="28"/>
          <w:szCs w:val="28"/>
          <w:shd w:val="clear" w:color="auto" w:fill="FFFFFF"/>
          <w:lang w:eastAsia="zh-CN"/>
        </w:rPr>
      </w:pPr>
    </w:p>
    <w:p w14:paraId="04171708">
      <w:pPr>
        <w:widowControl/>
        <w:shd w:val="clear" w:color="auto" w:fill="FFFFFF"/>
        <w:spacing w:before="100" w:beforeAutospacing="1" w:after="90" w:line="315" w:lineRule="atLeast"/>
        <w:ind w:firstLine="562" w:firstLineChars="200"/>
        <w:jc w:val="center"/>
        <w:rPr>
          <w:rStyle w:val="8"/>
          <w:sz w:val="28"/>
          <w:szCs w:val="28"/>
          <w:shd w:val="clear" w:color="auto" w:fill="FFFFFF"/>
        </w:rPr>
      </w:pPr>
    </w:p>
    <w:p w14:paraId="0FBCBE8F">
      <w:pPr>
        <w:widowControl/>
        <w:shd w:val="clear" w:color="auto" w:fill="FFFFFF"/>
        <w:spacing w:before="100" w:beforeAutospacing="1" w:after="90" w:line="315" w:lineRule="atLeast"/>
        <w:ind w:firstLine="562" w:firstLineChars="200"/>
        <w:jc w:val="center"/>
        <w:rPr>
          <w:rStyle w:val="8"/>
          <w:sz w:val="28"/>
          <w:szCs w:val="28"/>
          <w:shd w:val="clear" w:color="auto" w:fill="FFFFFF"/>
        </w:rPr>
      </w:pPr>
    </w:p>
    <w:p w14:paraId="033C0C42">
      <w:pPr>
        <w:widowControl/>
        <w:shd w:val="clear" w:color="auto" w:fill="FFFFFF"/>
        <w:spacing w:before="100" w:beforeAutospacing="1" w:after="90" w:line="315" w:lineRule="atLeast"/>
        <w:ind w:firstLine="562" w:firstLineChars="200"/>
        <w:jc w:val="center"/>
        <w:rPr>
          <w:rStyle w:val="8"/>
          <w:sz w:val="28"/>
          <w:szCs w:val="28"/>
          <w:shd w:val="clear" w:color="auto" w:fill="FFFFFF"/>
        </w:rPr>
      </w:pPr>
    </w:p>
    <w:p w14:paraId="5ABFA53F">
      <w:pPr>
        <w:pStyle w:val="5"/>
        <w:widowControl/>
        <w:spacing w:beforeAutospacing="0" w:after="150" w:afterAutospacing="0" w:line="315" w:lineRule="atLeast"/>
        <w:rPr>
          <w:rStyle w:val="8"/>
          <w:rFonts w:ascii="宋体" w:hAnsi="宋体" w:eastAsia="宋体" w:cs="宋体"/>
          <w:color w:val="333333"/>
          <w:sz w:val="28"/>
          <w:szCs w:val="28"/>
          <w:shd w:val="clear" w:color="auto" w:fill="FFFFFF"/>
        </w:rPr>
      </w:pPr>
      <w:r>
        <w:rPr>
          <w:rStyle w:val="8"/>
          <w:rFonts w:hint="eastAsia" w:ascii="宋体" w:hAnsi="宋体" w:eastAsia="宋体" w:cs="宋体"/>
          <w:color w:val="333333"/>
          <w:sz w:val="28"/>
          <w:szCs w:val="28"/>
          <w:shd w:val="clear" w:color="auto" w:fill="FFFFFF"/>
        </w:rPr>
        <w:t>三、考试内容纲要</w:t>
      </w:r>
    </w:p>
    <w:p w14:paraId="0533355C">
      <w:pPr>
        <w:widowControl/>
        <w:shd w:val="clear" w:color="auto" w:fill="FFFFFF"/>
        <w:spacing w:before="100" w:beforeAutospacing="1" w:after="90" w:line="315" w:lineRule="atLeast"/>
        <w:jc w:val="left"/>
        <w:rPr>
          <w:rFonts w:ascii="微软雅黑" w:hAnsi="微软雅黑" w:eastAsia="微软雅黑" w:cs="宋体"/>
          <w:color w:val="333333"/>
          <w:kern w:val="0"/>
          <w:szCs w:val="21"/>
        </w:rPr>
      </w:pPr>
      <w:r>
        <w:rPr>
          <w:rFonts w:hint="eastAsia" w:ascii="宋体" w:hAnsi="宋体" w:eastAsia="宋体" w:cs="宋体"/>
          <w:color w:val="333333"/>
          <w:kern w:val="0"/>
          <w:sz w:val="24"/>
        </w:rPr>
        <w:t>1.专业基础理论考试</w:t>
      </w:r>
    </w:p>
    <w:p w14:paraId="1892CB3D">
      <w:pPr>
        <w:widowControl/>
        <w:shd w:val="clear" w:color="auto" w:fill="FFFFFF"/>
        <w:spacing w:before="100" w:beforeAutospacing="1" w:after="90" w:line="315" w:lineRule="atLeast"/>
        <w:jc w:val="left"/>
        <w:rPr>
          <w:rFonts w:ascii="微软雅黑" w:hAnsi="微软雅黑" w:eastAsia="微软雅黑" w:cs="宋体"/>
          <w:color w:val="333333"/>
          <w:kern w:val="0"/>
          <w:szCs w:val="21"/>
        </w:rPr>
      </w:pPr>
      <w:r>
        <w:rPr>
          <w:rFonts w:hint="eastAsia" w:ascii="宋体" w:hAnsi="宋体" w:eastAsia="宋体" w:cs="宋体"/>
          <w:color w:val="333333"/>
          <w:kern w:val="0"/>
          <w:sz w:val="24"/>
        </w:rPr>
        <w:t>（1）掌握网络互联设备的基本用法，能够构建小型局域网，能够利用路由器连接公网。</w:t>
      </w:r>
    </w:p>
    <w:p w14:paraId="528B9B35">
      <w:pPr>
        <w:widowControl/>
        <w:shd w:val="clear" w:color="auto" w:fill="FFFFFF"/>
        <w:spacing w:before="100" w:beforeAutospacing="1" w:after="90" w:line="315" w:lineRule="atLeast"/>
        <w:jc w:val="left"/>
        <w:rPr>
          <w:rFonts w:ascii="微软雅黑" w:hAnsi="微软雅黑" w:eastAsia="微软雅黑" w:cs="宋体"/>
          <w:color w:val="333333"/>
          <w:kern w:val="0"/>
          <w:szCs w:val="21"/>
        </w:rPr>
      </w:pPr>
      <w:r>
        <w:rPr>
          <w:rFonts w:hint="eastAsia" w:ascii="宋体" w:hAnsi="宋体" w:eastAsia="宋体" w:cs="宋体"/>
          <w:color w:val="333333"/>
          <w:kern w:val="0"/>
          <w:sz w:val="24"/>
        </w:rPr>
        <w:t>（2）掌握IP地址的分类及用法，能够计算、规划IP地址，能够进行子网划分。</w:t>
      </w:r>
    </w:p>
    <w:p w14:paraId="50CE14FF">
      <w:pPr>
        <w:widowControl/>
        <w:shd w:val="clear" w:color="auto" w:fill="FFFFFF"/>
        <w:spacing w:before="100" w:beforeAutospacing="1" w:after="90" w:line="315" w:lineRule="atLeast"/>
        <w:jc w:val="left"/>
        <w:rPr>
          <w:rFonts w:ascii="微软雅黑" w:hAnsi="微软雅黑" w:eastAsia="微软雅黑" w:cs="宋体"/>
          <w:color w:val="333333"/>
          <w:kern w:val="0"/>
          <w:szCs w:val="21"/>
        </w:rPr>
      </w:pPr>
      <w:r>
        <w:rPr>
          <w:rFonts w:hint="eastAsia" w:ascii="宋体" w:hAnsi="宋体" w:eastAsia="宋体" w:cs="宋体"/>
          <w:color w:val="333333"/>
          <w:kern w:val="0"/>
          <w:sz w:val="24"/>
        </w:rPr>
        <w:t>（3）掌握路由技术，能够根据要求配置相应路由技术实现全网全通。</w:t>
      </w:r>
    </w:p>
    <w:p w14:paraId="0D086530">
      <w:pPr>
        <w:widowControl/>
        <w:shd w:val="clear" w:color="auto" w:fill="FFFFFF"/>
        <w:spacing w:before="100" w:beforeAutospacing="1" w:after="90" w:line="315" w:lineRule="atLeast"/>
        <w:jc w:val="left"/>
        <w:rPr>
          <w:rFonts w:ascii="微软雅黑" w:hAnsi="微软雅黑" w:eastAsia="微软雅黑" w:cs="宋体"/>
          <w:color w:val="333333"/>
          <w:kern w:val="0"/>
          <w:szCs w:val="21"/>
        </w:rPr>
      </w:pPr>
      <w:r>
        <w:rPr>
          <w:rFonts w:hint="eastAsia" w:ascii="宋体" w:hAnsi="宋体" w:eastAsia="宋体" w:cs="宋体"/>
          <w:color w:val="333333"/>
          <w:kern w:val="0"/>
          <w:sz w:val="24"/>
        </w:rPr>
        <w:t>（4）掌握常见网络服务的工作原理，能够对DHCP、DNS、FTP、WWW、EMAIL等服务器进行基本配置。</w:t>
      </w:r>
    </w:p>
    <w:p w14:paraId="30193048">
      <w:pPr>
        <w:widowControl/>
        <w:shd w:val="clear" w:color="auto" w:fill="FFFFFF"/>
        <w:spacing w:before="100" w:beforeAutospacing="1" w:after="90" w:line="315" w:lineRule="atLeast"/>
        <w:jc w:val="left"/>
        <w:rPr>
          <w:rFonts w:ascii="微软雅黑" w:hAnsi="微软雅黑" w:eastAsia="微软雅黑" w:cs="宋体"/>
          <w:color w:val="333333"/>
          <w:kern w:val="0"/>
          <w:szCs w:val="21"/>
        </w:rPr>
      </w:pPr>
      <w:r>
        <w:rPr>
          <w:rFonts w:hint="eastAsia" w:ascii="宋体" w:hAnsi="宋体" w:eastAsia="宋体" w:cs="宋体"/>
          <w:color w:val="333333"/>
          <w:kern w:val="0"/>
          <w:sz w:val="24"/>
        </w:rPr>
        <w:t>（5）了解常见网络安全技术，如防火墙技术及病毒和木马的查杀，能初步解决常见网络安全问题。</w:t>
      </w:r>
      <w:bookmarkStart w:id="3" w:name="_GoBack"/>
      <w:bookmarkEnd w:id="3"/>
    </w:p>
    <w:p w14:paraId="515E0F33">
      <w:pPr>
        <w:widowControl/>
        <w:shd w:val="clear" w:color="auto" w:fill="FFFFFF"/>
        <w:spacing w:before="100" w:beforeAutospacing="1" w:after="90" w:line="315" w:lineRule="atLeast"/>
        <w:jc w:val="left"/>
        <w:rPr>
          <w:rFonts w:ascii="微软雅黑" w:hAnsi="微软雅黑" w:eastAsia="微软雅黑" w:cs="宋体"/>
          <w:color w:val="333333"/>
          <w:kern w:val="0"/>
          <w:szCs w:val="21"/>
        </w:rPr>
      </w:pPr>
      <w:r>
        <w:rPr>
          <w:rFonts w:hint="eastAsia" w:ascii="宋体" w:hAnsi="宋体" w:eastAsia="宋体" w:cs="宋体"/>
          <w:color w:val="333333"/>
          <w:kern w:val="0"/>
          <w:sz w:val="24"/>
        </w:rPr>
        <w:t>2.专业技能操作考试</w:t>
      </w:r>
    </w:p>
    <w:p w14:paraId="2079F796">
      <w:pPr>
        <w:widowControl/>
        <w:shd w:val="clear" w:color="auto" w:fill="FFFFFF"/>
        <w:spacing w:before="100" w:beforeAutospacing="1" w:after="90" w:line="315" w:lineRule="atLeast"/>
        <w:ind w:firstLine="480"/>
        <w:jc w:val="left"/>
        <w:rPr>
          <w:rFonts w:ascii="微软雅黑" w:hAnsi="微软雅黑" w:eastAsia="微软雅黑" w:cs="宋体"/>
          <w:color w:val="333333"/>
          <w:kern w:val="0"/>
          <w:szCs w:val="21"/>
        </w:rPr>
      </w:pPr>
      <w:r>
        <w:rPr>
          <w:rFonts w:hint="eastAsia" w:ascii="宋体" w:hAnsi="宋体" w:eastAsia="宋体" w:cs="宋体"/>
          <w:color w:val="333333"/>
          <w:kern w:val="0"/>
          <w:sz w:val="24"/>
        </w:rPr>
        <w:t>能够根据要求，搭建网络拓扑结构，对网络互联设备进行配置。</w:t>
      </w:r>
    </w:p>
    <w:p w14:paraId="021C0A17">
      <w:pPr>
        <w:widowControl/>
        <w:shd w:val="clear" w:color="auto" w:fill="FFFFFF"/>
        <w:spacing w:before="100" w:beforeAutospacing="1" w:after="90" w:line="315" w:lineRule="atLeast"/>
        <w:ind w:firstLine="480"/>
        <w:jc w:val="left"/>
        <w:rPr>
          <w:rFonts w:ascii="微软雅黑" w:hAnsi="微软雅黑" w:eastAsia="微软雅黑" w:cs="宋体"/>
          <w:color w:val="333333"/>
          <w:kern w:val="0"/>
          <w:szCs w:val="21"/>
        </w:rPr>
      </w:pPr>
      <w:r>
        <w:rPr>
          <w:rFonts w:hint="eastAsia" w:ascii="宋体" w:hAnsi="宋体" w:eastAsia="宋体" w:cs="宋体"/>
          <w:color w:val="333333"/>
          <w:kern w:val="0"/>
          <w:sz w:val="24"/>
        </w:rPr>
        <w:t>具体内容包括：</w:t>
      </w:r>
    </w:p>
    <w:p w14:paraId="08BBCA9B">
      <w:pPr>
        <w:widowControl/>
        <w:shd w:val="clear" w:color="auto" w:fill="FFFFFF"/>
        <w:spacing w:before="100" w:beforeAutospacing="1" w:after="90" w:line="315" w:lineRule="atLeast"/>
        <w:ind w:firstLine="480"/>
        <w:jc w:val="left"/>
        <w:rPr>
          <w:rFonts w:ascii="微软雅黑" w:hAnsi="微软雅黑" w:eastAsia="微软雅黑" w:cs="宋体"/>
          <w:color w:val="333333"/>
          <w:kern w:val="0"/>
          <w:szCs w:val="21"/>
        </w:rPr>
      </w:pPr>
      <w:r>
        <w:rPr>
          <w:rFonts w:hint="eastAsia" w:ascii="宋体" w:hAnsi="宋体" w:eastAsia="宋体" w:cs="宋体"/>
          <w:color w:val="333333"/>
          <w:kern w:val="0"/>
          <w:sz w:val="24"/>
        </w:rPr>
        <w:t>（1）设备安全登录配置</w:t>
      </w:r>
    </w:p>
    <w:p w14:paraId="27586345">
      <w:pPr>
        <w:widowControl/>
        <w:shd w:val="clear" w:color="auto" w:fill="FFFFFF"/>
        <w:spacing w:before="100" w:beforeAutospacing="1" w:after="90" w:line="315" w:lineRule="atLeast"/>
        <w:ind w:firstLine="480"/>
        <w:jc w:val="left"/>
        <w:rPr>
          <w:rFonts w:ascii="微软雅黑" w:hAnsi="微软雅黑" w:eastAsia="微软雅黑" w:cs="宋体"/>
          <w:color w:val="333333"/>
          <w:kern w:val="0"/>
          <w:szCs w:val="21"/>
        </w:rPr>
      </w:pPr>
      <w:r>
        <w:rPr>
          <w:rFonts w:hint="eastAsia" w:ascii="宋体" w:hAnsi="宋体" w:eastAsia="宋体" w:cs="宋体"/>
          <w:color w:val="333333"/>
          <w:kern w:val="0"/>
          <w:sz w:val="24"/>
        </w:rPr>
        <w:t>（2）端口配置</w:t>
      </w:r>
    </w:p>
    <w:p w14:paraId="04E51910">
      <w:pPr>
        <w:widowControl/>
        <w:shd w:val="clear" w:color="auto" w:fill="FFFFFF"/>
        <w:spacing w:before="100" w:beforeAutospacing="1" w:after="90" w:line="315" w:lineRule="atLeast"/>
        <w:ind w:firstLine="480"/>
        <w:jc w:val="left"/>
        <w:rPr>
          <w:rFonts w:ascii="微软雅黑" w:hAnsi="微软雅黑" w:eastAsia="微软雅黑" w:cs="宋体"/>
          <w:color w:val="333333"/>
          <w:kern w:val="0"/>
          <w:szCs w:val="21"/>
        </w:rPr>
      </w:pPr>
      <w:r>
        <w:rPr>
          <w:rFonts w:hint="eastAsia" w:ascii="宋体" w:hAnsi="宋体" w:eastAsia="宋体" w:cs="宋体"/>
          <w:color w:val="333333"/>
          <w:kern w:val="0"/>
          <w:sz w:val="24"/>
        </w:rPr>
        <w:t>（3）MAC地址绑定</w:t>
      </w:r>
    </w:p>
    <w:p w14:paraId="63FF3E95">
      <w:pPr>
        <w:widowControl/>
        <w:shd w:val="clear" w:color="auto" w:fill="FFFFFF"/>
        <w:spacing w:before="100" w:beforeAutospacing="1" w:after="90" w:line="315" w:lineRule="atLeast"/>
        <w:ind w:firstLine="480"/>
        <w:jc w:val="left"/>
        <w:rPr>
          <w:rFonts w:ascii="微软雅黑" w:hAnsi="微软雅黑" w:eastAsia="微软雅黑" w:cs="宋体"/>
          <w:color w:val="333333"/>
          <w:kern w:val="0"/>
          <w:szCs w:val="21"/>
        </w:rPr>
      </w:pPr>
      <w:r>
        <w:rPr>
          <w:rFonts w:hint="eastAsia" w:ascii="宋体" w:hAnsi="宋体" w:eastAsia="宋体" w:cs="宋体"/>
          <w:color w:val="333333"/>
          <w:kern w:val="0"/>
          <w:sz w:val="24"/>
        </w:rPr>
        <w:t>（4）VLAN配置</w:t>
      </w:r>
    </w:p>
    <w:p w14:paraId="5210D26D">
      <w:pPr>
        <w:widowControl/>
        <w:shd w:val="clear" w:color="auto" w:fill="FFFFFF"/>
        <w:spacing w:before="100" w:beforeAutospacing="1" w:after="90" w:line="315" w:lineRule="atLeast"/>
        <w:ind w:firstLine="480"/>
        <w:jc w:val="left"/>
        <w:rPr>
          <w:rFonts w:ascii="微软雅黑" w:hAnsi="微软雅黑" w:eastAsia="微软雅黑" w:cs="宋体"/>
          <w:color w:val="333333"/>
          <w:kern w:val="0"/>
          <w:szCs w:val="21"/>
        </w:rPr>
      </w:pPr>
      <w:r>
        <w:rPr>
          <w:rFonts w:hint="eastAsia" w:ascii="宋体" w:hAnsi="宋体" w:eastAsia="宋体" w:cs="宋体"/>
          <w:color w:val="333333"/>
          <w:kern w:val="0"/>
          <w:sz w:val="24"/>
        </w:rPr>
        <w:t>（5）VLAN之间的通信</w:t>
      </w:r>
    </w:p>
    <w:p w14:paraId="6A657E28">
      <w:pPr>
        <w:widowControl/>
        <w:shd w:val="clear" w:color="auto" w:fill="FFFFFF"/>
        <w:spacing w:before="100" w:beforeAutospacing="1" w:after="90" w:line="315" w:lineRule="atLeast"/>
        <w:ind w:firstLine="480"/>
        <w:jc w:val="left"/>
        <w:rPr>
          <w:rFonts w:ascii="微软雅黑" w:hAnsi="微软雅黑" w:eastAsia="微软雅黑" w:cs="宋体"/>
          <w:color w:val="333333"/>
          <w:kern w:val="0"/>
          <w:szCs w:val="21"/>
        </w:rPr>
      </w:pPr>
      <w:r>
        <w:rPr>
          <w:rFonts w:hint="eastAsia" w:ascii="宋体" w:hAnsi="宋体" w:eastAsia="宋体" w:cs="宋体"/>
          <w:color w:val="333333"/>
          <w:kern w:val="0"/>
          <w:sz w:val="24"/>
        </w:rPr>
        <w:t>（6）静态路由配置</w:t>
      </w:r>
    </w:p>
    <w:p w14:paraId="52A5A736">
      <w:pPr>
        <w:widowControl/>
        <w:shd w:val="clear" w:color="auto" w:fill="FFFFFF"/>
        <w:spacing w:before="100" w:beforeAutospacing="1" w:after="90" w:line="315" w:lineRule="atLeast"/>
        <w:ind w:firstLine="480"/>
        <w:jc w:val="left"/>
        <w:rPr>
          <w:rFonts w:ascii="微软雅黑" w:hAnsi="微软雅黑" w:eastAsia="微软雅黑" w:cs="宋体"/>
          <w:color w:val="333333"/>
          <w:kern w:val="0"/>
          <w:szCs w:val="21"/>
        </w:rPr>
      </w:pPr>
      <w:r>
        <w:rPr>
          <w:rFonts w:hint="eastAsia" w:ascii="宋体" w:hAnsi="宋体" w:eastAsia="宋体" w:cs="宋体"/>
          <w:color w:val="333333"/>
          <w:kern w:val="0"/>
          <w:sz w:val="24"/>
        </w:rPr>
        <w:t>（7）RIP路由协议配置</w:t>
      </w:r>
    </w:p>
    <w:p w14:paraId="380CA4ED">
      <w:pPr>
        <w:widowControl/>
        <w:shd w:val="clear" w:color="auto" w:fill="FFFFFF"/>
        <w:spacing w:before="100" w:beforeAutospacing="1" w:after="90" w:line="315" w:lineRule="atLeast"/>
        <w:ind w:firstLine="480"/>
        <w:jc w:val="left"/>
        <w:rPr>
          <w:rFonts w:ascii="微软雅黑" w:hAnsi="微软雅黑" w:eastAsia="微软雅黑" w:cs="宋体"/>
          <w:color w:val="333333"/>
          <w:kern w:val="0"/>
          <w:szCs w:val="21"/>
        </w:rPr>
      </w:pPr>
      <w:r>
        <w:rPr>
          <w:rFonts w:hint="eastAsia" w:ascii="宋体" w:hAnsi="宋体" w:eastAsia="宋体" w:cs="宋体"/>
          <w:color w:val="333333"/>
          <w:kern w:val="0"/>
          <w:sz w:val="24"/>
        </w:rPr>
        <w:t>（8）ACL配置</w:t>
      </w:r>
    </w:p>
    <w:p w14:paraId="581FD790">
      <w:pPr>
        <w:widowControl/>
        <w:shd w:val="clear" w:color="auto" w:fill="FFFFFF"/>
        <w:spacing w:before="100" w:beforeAutospacing="1" w:after="90" w:line="315" w:lineRule="atLeast"/>
        <w:ind w:firstLine="480"/>
        <w:jc w:val="left"/>
        <w:rPr>
          <w:rFonts w:ascii="微软雅黑" w:hAnsi="微软雅黑" w:eastAsia="微软雅黑" w:cs="宋体"/>
          <w:color w:val="333333"/>
          <w:kern w:val="0"/>
          <w:szCs w:val="21"/>
        </w:rPr>
      </w:pPr>
      <w:r>
        <w:rPr>
          <w:rFonts w:hint="eastAsia" w:ascii="宋体" w:hAnsi="宋体" w:eastAsia="宋体" w:cs="宋体"/>
          <w:color w:val="333333"/>
          <w:kern w:val="0"/>
          <w:sz w:val="24"/>
        </w:rPr>
        <w:t>（9）NAT配置</w:t>
      </w:r>
    </w:p>
    <w:p w14:paraId="0F619E28">
      <w:pPr>
        <w:widowControl/>
        <w:shd w:val="clear" w:color="auto" w:fill="FFFFFF"/>
        <w:spacing w:before="100" w:beforeAutospacing="1" w:after="90" w:line="315" w:lineRule="atLeast"/>
        <w:ind w:firstLine="480"/>
        <w:jc w:val="left"/>
        <w:rPr>
          <w:rStyle w:val="8"/>
          <w:rFonts w:ascii="微软雅黑" w:hAnsi="微软雅黑" w:eastAsia="微软雅黑" w:cs="宋体"/>
          <w:b w:val="0"/>
          <w:color w:val="333333"/>
          <w:kern w:val="0"/>
          <w:szCs w:val="21"/>
        </w:rPr>
      </w:pPr>
      <w:r>
        <w:rPr>
          <w:rFonts w:hint="eastAsia" w:ascii="宋体" w:hAnsi="宋体" w:eastAsia="宋体" w:cs="宋体"/>
          <w:color w:val="333333"/>
          <w:kern w:val="0"/>
          <w:sz w:val="24"/>
        </w:rPr>
        <w:t>（10）DHCP配置</w:t>
      </w:r>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050DC"/>
    <w:rsid w:val="000041F8"/>
    <w:rsid w:val="00074E4A"/>
    <w:rsid w:val="000F13C5"/>
    <w:rsid w:val="00124052"/>
    <w:rsid w:val="001251D8"/>
    <w:rsid w:val="001F76C5"/>
    <w:rsid w:val="002044F1"/>
    <w:rsid w:val="00220E73"/>
    <w:rsid w:val="00255241"/>
    <w:rsid w:val="002B661F"/>
    <w:rsid w:val="00305588"/>
    <w:rsid w:val="00312DDF"/>
    <w:rsid w:val="004952B7"/>
    <w:rsid w:val="00553D9D"/>
    <w:rsid w:val="0058351A"/>
    <w:rsid w:val="00671766"/>
    <w:rsid w:val="007956A5"/>
    <w:rsid w:val="00812398"/>
    <w:rsid w:val="00813B8E"/>
    <w:rsid w:val="00840333"/>
    <w:rsid w:val="00890DEF"/>
    <w:rsid w:val="008945D7"/>
    <w:rsid w:val="008E61FA"/>
    <w:rsid w:val="00A343E1"/>
    <w:rsid w:val="00B00D42"/>
    <w:rsid w:val="00B1712B"/>
    <w:rsid w:val="00B26DC2"/>
    <w:rsid w:val="00B65482"/>
    <w:rsid w:val="00BC43E7"/>
    <w:rsid w:val="00C47D38"/>
    <w:rsid w:val="00D24FD0"/>
    <w:rsid w:val="00D40F13"/>
    <w:rsid w:val="00D95649"/>
    <w:rsid w:val="00DE06D1"/>
    <w:rsid w:val="00EB0901"/>
    <w:rsid w:val="00F57D1B"/>
    <w:rsid w:val="00F80EBE"/>
    <w:rsid w:val="00FC458C"/>
    <w:rsid w:val="0A313710"/>
    <w:rsid w:val="21F04B6D"/>
    <w:rsid w:val="25E46659"/>
    <w:rsid w:val="32884DFD"/>
    <w:rsid w:val="39C96576"/>
    <w:rsid w:val="3F7E2CD5"/>
    <w:rsid w:val="4535178D"/>
    <w:rsid w:val="4F7D4CB1"/>
    <w:rsid w:val="531C265F"/>
    <w:rsid w:val="5AE755A6"/>
    <w:rsid w:val="72B3575F"/>
    <w:rsid w:val="785050DC"/>
    <w:rsid w:val="7B490EF2"/>
    <w:rsid w:val="B74D7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字符"/>
    <w:basedOn w:val="7"/>
    <w:link w:val="4"/>
    <w:uiPriority w:val="0"/>
    <w:rPr>
      <w:rFonts w:asciiTheme="minorHAnsi" w:hAnsiTheme="minorHAnsi" w:eastAsiaTheme="minorEastAsia" w:cstheme="minorBidi"/>
      <w:kern w:val="2"/>
      <w:sz w:val="18"/>
      <w:szCs w:val="18"/>
    </w:rPr>
  </w:style>
  <w:style w:type="character" w:customStyle="1" w:styleId="10">
    <w:name w:val="页脚 字符"/>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1143</Words>
  <Characters>1248</Characters>
  <Lines>9</Lines>
  <Paragraphs>2</Paragraphs>
  <TotalTime>93</TotalTime>
  <ScaleCrop>false</ScaleCrop>
  <LinksUpToDate>false</LinksUpToDate>
  <CharactersWithSpaces>1274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2020-12-09T22:06:00Z</dcterms:created>
  <dc:creator>Administrator</dc:creator>
  <cp:lastModifiedBy>非主流小公主</cp:lastModifiedBy>
  <dcterms:modified xsi:type="dcterms:W3CDTF">2025-04-27T06:19:27Z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eyJoZGlkIjoiODMxYTdkODI2ZmY0M2NlNmQ1MGVlM2Q5MzYyNzY5YmEiLCJ1c2VySWQiOiIyMTU1MzE4ODgifQ==</vt:lpwstr>
  </property>
  <property fmtid="{D5CDD505-2E9C-101B-9397-08002B2CF9AE}" pid="4" name="ICV">
    <vt:lpwstr>D17638A8F5F24885818C94BFA9E28D6A_12</vt:lpwstr>
  </property>
</Properties>
</file>