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38" w:rsidRPr="002013CE" w:rsidRDefault="00F720DC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 w:rsidRPr="002013CE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上海建桥学院专升本【传播学概论】课程考试大纲</w:t>
      </w:r>
    </w:p>
    <w:p w:rsidR="00304738" w:rsidRDefault="00F720D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:rsidR="00F36C4F" w:rsidRDefault="00285CF0" w:rsidP="00F36C4F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考试目标是测试学生</w:t>
      </w:r>
      <w:r w:rsidRPr="00285CF0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掌握传播学的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核心</w:t>
      </w:r>
      <w:r w:rsidRPr="00285CF0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理论和基本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知识</w:t>
      </w:r>
      <w:r w:rsidR="00F36C4F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的情况。学生应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了解传播的含义与类型，结构与功能，传播技术的发展，理解传播内容的中介、载体与表达，知道大众传播的受众与效果。</w:t>
      </w:r>
      <w:r w:rsidR="00F36C4F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学生</w:t>
      </w:r>
      <w:r w:rsidR="00F36C4F" w:rsidRPr="00F36C4F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能够理论联系实际</w:t>
      </w:r>
      <w:r w:rsidR="00F36C4F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，运用传播学的基本原理去分析现实生活中的传播活动与现象</w:t>
      </w:r>
      <w:r w:rsidR="00F36C4F" w:rsidRPr="00F36C4F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，</w:t>
      </w:r>
      <w:r w:rsidR="00F36C4F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并为后继课程和专业课程中传播策略、传播技巧的应用奠定基础。</w:t>
      </w:r>
    </w:p>
    <w:p w:rsidR="00304738" w:rsidRDefault="00F720D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:rsidR="00304738" w:rsidRPr="00A15ABD" w:rsidRDefault="00F720DC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求的“知识点”和“范围”，并按照认知的要求制定考题，原则上达到以下百分比要求：在认知要求方面，“知道”、“理解”和“掌握”分别占</w:t>
      </w:r>
      <w:r w:rsidR="00A15ABD" w:rsidRPr="00A15ABD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35</w:t>
      </w:r>
      <w:r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％、4</w:t>
      </w:r>
      <w:r w:rsidR="00A15ABD" w:rsidRPr="00A15ABD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5</w:t>
      </w:r>
      <w:r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％ </w:t>
      </w:r>
      <w:bookmarkStart w:id="0" w:name="_GoBack"/>
      <w:bookmarkEnd w:id="0"/>
      <w:r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和20％左右。</w:t>
      </w:r>
    </w:p>
    <w:p w:rsidR="00304738" w:rsidRPr="00A15ABD" w:rsidRDefault="004611A4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</w:t>
      </w:r>
      <w:r w:rsidR="00F720DC"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</w:t>
      </w:r>
      <w:r w:rsidR="00A15ABD"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纸质（闭卷）</w:t>
      </w:r>
      <w:r w:rsidR="00F720DC"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完成考试，考试时间为</w:t>
      </w:r>
      <w:r w:rsidR="00153DF7" w:rsidRPr="00A15ABD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12</w:t>
      </w:r>
      <w:r w:rsidR="00F720DC" w:rsidRPr="00A15A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0分钟，试卷总分为100分。</w:t>
      </w:r>
    </w:p>
    <w:p w:rsidR="00304738" w:rsidRPr="004611A4" w:rsidRDefault="004611A4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 w:rsidRPr="004611A4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</w:t>
      </w:r>
      <w:r w:rsidR="00F720DC" w:rsidRPr="004611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．考试题型分为：填空</w:t>
      </w:r>
      <w:r w:rsidRPr="004611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题、单选题、</w:t>
      </w:r>
      <w:r w:rsidR="00B4153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多选题、</w:t>
      </w:r>
      <w:r w:rsidRPr="004611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简述题、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应用</w:t>
      </w:r>
      <w:r w:rsidRPr="004611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题</w:t>
      </w:r>
      <w:r w:rsidR="00F720DC" w:rsidRPr="004611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</w:t>
      </w:r>
      <w:r w:rsidRPr="004611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论述题</w:t>
      </w:r>
      <w:r w:rsidR="00F720DC" w:rsidRPr="004611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等</w:t>
      </w:r>
      <w:r w:rsidR="00B4153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六</w:t>
      </w:r>
      <w:r w:rsidR="00F720DC" w:rsidRPr="004611A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种题型。</w:t>
      </w:r>
    </w:p>
    <w:p w:rsidR="004611A4" w:rsidRDefault="00F720D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:rsidR="00B4153A" w:rsidRDefault="00B4153A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B4153A" w:rsidTr="00B4153A">
        <w:trPr>
          <w:jc w:val="center"/>
        </w:trPr>
        <w:tc>
          <w:tcPr>
            <w:tcW w:w="2074" w:type="dxa"/>
          </w:tcPr>
          <w:p w:rsid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分值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</w:tr>
      <w:tr w:rsidR="00B4153A" w:rsidTr="00B4153A">
        <w:trPr>
          <w:jc w:val="center"/>
        </w:trPr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填空题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 w:rsidRPr="00B4153A"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B4153A" w:rsidTr="00B4153A">
        <w:trPr>
          <w:jc w:val="center"/>
        </w:trPr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单选题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 w:rsidRPr="00B4153A"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B4153A" w:rsidTr="00B4153A">
        <w:trPr>
          <w:jc w:val="center"/>
        </w:trPr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多选题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 w:rsidRPr="00B4153A"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B4153A" w:rsidTr="00B4153A">
        <w:trPr>
          <w:jc w:val="center"/>
        </w:trPr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简述题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 w:rsidRPr="00B4153A">
              <w:rPr>
                <w:rFonts w:ascii="微软雅黑" w:eastAsia="微软雅黑" w:hAnsi="微软雅黑" w:cs="微软雅黑"/>
                <w:sz w:val="21"/>
                <w:szCs w:val="21"/>
              </w:rPr>
              <w:t>4</w:t>
            </w:r>
          </w:p>
        </w:tc>
      </w:tr>
      <w:tr w:rsidR="00B4153A" w:rsidTr="00B4153A">
        <w:trPr>
          <w:jc w:val="center"/>
        </w:trPr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应用题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 w:rsidRPr="00B4153A">
              <w:rPr>
                <w:rFonts w:ascii="微软雅黑" w:eastAsia="微软雅黑" w:hAnsi="微软雅黑" w:cs="微软雅黑"/>
                <w:sz w:val="21"/>
                <w:szCs w:val="21"/>
              </w:rPr>
              <w:t>6</w:t>
            </w:r>
          </w:p>
        </w:tc>
      </w:tr>
      <w:tr w:rsidR="00B4153A" w:rsidTr="00B4153A">
        <w:trPr>
          <w:jc w:val="center"/>
        </w:trPr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论述题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153A"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 w:rsidRPr="00B4153A"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B4153A" w:rsidTr="00407AC5">
        <w:trPr>
          <w:jc w:val="center"/>
        </w:trPr>
        <w:tc>
          <w:tcPr>
            <w:tcW w:w="2074" w:type="dxa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总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</w:t>
            </w:r>
          </w:p>
        </w:tc>
        <w:tc>
          <w:tcPr>
            <w:tcW w:w="4148" w:type="dxa"/>
            <w:gridSpan w:val="2"/>
          </w:tcPr>
          <w:p w:rsidR="00B4153A" w:rsidRPr="00B4153A" w:rsidRDefault="00B4153A" w:rsidP="00B4153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00</w:t>
            </w:r>
          </w:p>
        </w:tc>
      </w:tr>
    </w:tbl>
    <w:p w:rsidR="00304738" w:rsidRDefault="00F720DC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:rsidR="00304738" w:rsidRDefault="0030473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04738" w:rsidRDefault="0030473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A15ABD" w:rsidRDefault="00A15ABD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B4153A" w:rsidRDefault="00B4153A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04738" w:rsidRDefault="00F720D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lastRenderedPageBreak/>
        <w:t>四、考试内容和要求</w:t>
      </w:r>
    </w:p>
    <w:p w:rsidR="00304738" w:rsidRDefault="00F720DC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(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)</w:t>
      </w:r>
      <w:r w:rsidR="0050683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传播与传播学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304738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F720DC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F720DC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F720DC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304738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F720DC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</w:t>
            </w:r>
            <w:r w:rsidR="00153DF7"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传播的含义</w:t>
            </w:r>
          </w:p>
        </w:tc>
      </w:tr>
      <w:tr w:rsidR="00304738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04738" w:rsidRDefault="00F34377" w:rsidP="00F3437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</w:t>
            </w:r>
            <w:r w:rsidR="00153DF7"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</w:t>
            </w:r>
            <w:r w:rsidR="00F720DC">
              <w:rPr>
                <w:rFonts w:ascii="微软雅黑" w:eastAsia="微软雅黑" w:hAnsi="微软雅黑" w:cs="微软雅黑" w:hint="eastAsia"/>
                <w:sz w:val="21"/>
                <w:szCs w:val="21"/>
              </w:rPr>
              <w:t>的概念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153DF7" w:rsidP="00153DF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传播即传受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信息的行为（或过程）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6960AD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304738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153DF7" w:rsidP="00F34377">
            <w:pPr>
              <w:pStyle w:val="a3"/>
              <w:widowControl/>
              <w:numPr>
                <w:ilvl w:val="0"/>
                <w:numId w:val="2"/>
              </w:numPr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传播的类型</w:t>
            </w:r>
          </w:p>
        </w:tc>
      </w:tr>
      <w:tr w:rsidR="0030473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F34377" w:rsidP="00F3437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</w:t>
            </w:r>
            <w:r w:rsidR="00153DF7">
              <w:rPr>
                <w:rFonts w:ascii="微软雅黑" w:eastAsia="微软雅黑" w:hAnsi="微软雅黑" w:cs="微软雅黑" w:hint="eastAsia"/>
                <w:sz w:val="21"/>
                <w:szCs w:val="21"/>
              </w:rPr>
              <w:t>人际传播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153DF7" w:rsidP="00153DF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人际传播的概念、约哈里之窗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6960AD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53DF7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153DF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（2）组织传播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153DF7" w:rsidP="00153DF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五种传播网络及其比较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153DF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53DF7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153DF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（3）大众传播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F34377" w:rsidP="00153DF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大众传播的优点和缺点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F3437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53DF7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F3437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（4）各类传播的特点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F34377" w:rsidP="00153DF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各类“社会传播”的特点之比较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153DF7" w:rsidRDefault="00420EE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304738" w:rsidTr="00420EE7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F720DC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3．</w:t>
            </w:r>
            <w:r w:rsidR="00F34377"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传播学的诞生和发展</w:t>
            </w:r>
          </w:p>
        </w:tc>
      </w:tr>
      <w:tr w:rsidR="00304738" w:rsidTr="00420EE7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F720DC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(1)</w:t>
            </w:r>
            <w:r w:rsidR="00F34377">
              <w:rPr>
                <w:rFonts w:ascii="微软雅黑" w:eastAsia="微软雅黑" w:hAnsi="微软雅黑" w:cs="微软雅黑" w:hint="eastAsia"/>
                <w:sz w:val="21"/>
                <w:szCs w:val="21"/>
              </w:rPr>
              <w:t>奠基人的生平和贡献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420EE7" w:rsidP="00F3437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①</w:t>
            </w:r>
            <w:r w:rsidR="00F34377"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拉斯韦尔：提出5W模式、倡导内容分析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</w:t>
            </w:r>
          </w:p>
          <w:p w:rsidR="00F34377" w:rsidRDefault="00420EE7" w:rsidP="00F3437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②</w:t>
            </w:r>
            <w:r w:rsidR="00F34377">
              <w:rPr>
                <w:rFonts w:ascii="微软雅黑" w:eastAsia="微软雅黑" w:hAnsi="微软雅黑" w:cs="微软雅黑" w:hint="eastAsia"/>
                <w:sz w:val="21"/>
                <w:szCs w:val="21"/>
              </w:rPr>
              <w:t>卢因：传播过程中的“把关人”</w:t>
            </w:r>
          </w:p>
          <w:p w:rsidR="00420EE7" w:rsidRDefault="00420EE7" w:rsidP="00F3437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拉扎斯费尔德：创建“两级传播理论”、倡导实地调查发</w:t>
            </w:r>
          </w:p>
          <w:p w:rsidR="00420EE7" w:rsidRDefault="00420EE7" w:rsidP="00F3437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霍夫兰：劝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服传播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与态度改变</w:t>
            </w:r>
          </w:p>
          <w:p w:rsidR="00F34377" w:rsidRDefault="00420EE7" w:rsidP="00420EE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⑤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W</w:t>
            </w:r>
            <w:r>
              <w:rPr>
                <w:rFonts w:ascii="Calibri" w:eastAsia="微软雅黑" w:hAnsi="Calibri" w:cs="Calibri"/>
                <w:sz w:val="21"/>
                <w:szCs w:val="21"/>
              </w:rPr>
              <w:t>●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施拉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：传播学集大成者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04738" w:rsidRDefault="00F720DC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</w:tbl>
    <w:p w:rsidR="00420EE7" w:rsidRDefault="00420EE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（二）传播的结构与功能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420EE7" w:rsidTr="007502C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420EE7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420EE7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420EE7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420EE7" w:rsidTr="007502C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420EE7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1．传播的基本模式</w:t>
            </w:r>
          </w:p>
        </w:tc>
      </w:tr>
      <w:tr w:rsidR="00420EE7" w:rsidTr="007502C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420EE7" w:rsidRDefault="00420EE7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</w:t>
            </w:r>
            <w:r w:rsidR="00E21B19">
              <w:rPr>
                <w:rFonts w:ascii="微软雅黑" w:eastAsia="微软雅黑" w:hAnsi="微软雅黑" w:cs="微软雅黑" w:hint="eastAsia"/>
                <w:sz w:val="21"/>
                <w:szCs w:val="21"/>
              </w:rPr>
              <w:t>线性模式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E21B19" w:rsidP="00E21B19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E21B19">
              <w:rPr>
                <w:rFonts w:ascii="微软雅黑" w:eastAsia="微软雅黑" w:hAnsi="微软雅黑" w:cs="微软雅黑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拉斯韦尔的5W模式</w:t>
            </w:r>
          </w:p>
          <w:p w:rsidR="00E21B19" w:rsidRPr="00E21B19" w:rsidRDefault="00E21B19" w:rsidP="00E21B19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E21B19">
              <w:rPr>
                <w:rFonts w:ascii="微软雅黑" w:eastAsia="微软雅黑" w:hAnsi="微软雅黑" w:cs="微软雅黑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香农—韦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弗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的线性模式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6960AD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420EE7" w:rsidTr="007502C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420EE7" w:rsidRDefault="007502C5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（2）控制论模式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7502C5" w:rsidP="007502C5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奥斯古德—施拉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的控制论模式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6960AD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420EE7" w:rsidTr="007502C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420EE7" w:rsidRDefault="007502C5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（3）社会系统模式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7502C5" w:rsidP="007502C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赖利夫妇的社会系统模式</w:t>
            </w:r>
          </w:p>
          <w:p w:rsidR="007502C5" w:rsidRDefault="007502C5" w:rsidP="007502C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7502C5">
              <w:rPr>
                <w:rFonts w:ascii="微软雅黑" w:eastAsia="微软雅黑" w:hAnsi="微软雅黑" w:cs="微软雅黑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马莱茨克的大众传播过程模式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20EE7" w:rsidRDefault="006960AD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502C5" w:rsidTr="007502C5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502C5" w:rsidRDefault="007502C5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2．传播的功能</w:t>
            </w:r>
          </w:p>
        </w:tc>
      </w:tr>
      <w:tr w:rsidR="007502C5" w:rsidTr="007502C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502C5" w:rsidRDefault="007502C5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（1）四功能说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502C5" w:rsidRDefault="007502C5" w:rsidP="007502C5">
            <w:pPr>
              <w:pStyle w:val="a3"/>
              <w:widowControl/>
              <w:spacing w:after="90" w:afterAutospacing="0" w:line="360" w:lineRule="exact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sz w:val="21"/>
                <w:szCs w:val="21"/>
              </w:rPr>
              <w:t>传播功能的范畴、层次和类型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502C5" w:rsidRDefault="006960AD" w:rsidP="007502C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:rsidR="00420EE7" w:rsidRDefault="00420EE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:rsidR="00420EE7" w:rsidRDefault="00420EE7" w:rsidP="00C67F70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:rsidR="00304738" w:rsidRDefault="00F720DC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lastRenderedPageBreak/>
        <w:t>(</w:t>
      </w:r>
      <w:r w:rsidR="00C67F7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三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)</w:t>
      </w:r>
      <w:r w:rsidR="00C67F7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传播技术的进展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5850D1" w:rsidTr="004B5A81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5850D1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5850D1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5850D1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5850D1" w:rsidTr="004B5A81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5850D1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1．从亲身传播到大众传播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</w:p>
        </w:tc>
      </w:tr>
      <w:tr w:rsidR="005850D1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850D1" w:rsidRDefault="005850D1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（1）复制技术的演进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Pr="00E21B19" w:rsidRDefault="005850D1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印刷术的发明，代表人物及意义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6960AD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850D1" w:rsidTr="000D6BA7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850D1" w:rsidRDefault="005850D1" w:rsidP="005850D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．从活字媒介到声像媒介</w:t>
            </w:r>
          </w:p>
        </w:tc>
      </w:tr>
      <w:tr w:rsidR="005850D1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850D1" w:rsidRDefault="005850D1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（1）活字媒介“家族”的成长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5850D1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报纸的</w:t>
            </w:r>
            <w:r w:rsidR="004611A4">
              <w:rPr>
                <w:rFonts w:ascii="微软雅黑" w:eastAsia="微软雅黑" w:hAnsi="微软雅黑" w:cs="微软雅黑" w:hint="eastAsia"/>
                <w:sz w:val="21"/>
                <w:szCs w:val="21"/>
              </w:rPr>
              <w:t>特</w:t>
            </w:r>
            <w:r w:rsidR="000A5F57">
              <w:rPr>
                <w:rFonts w:ascii="微软雅黑" w:eastAsia="微软雅黑" w:hAnsi="微软雅黑" w:cs="微软雅黑" w:hint="eastAsia"/>
                <w:sz w:val="21"/>
                <w:szCs w:val="21"/>
              </w:rPr>
              <w:t>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6960AD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850D1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850D1" w:rsidRDefault="000A5F5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（2）声像媒介“家族”的兴起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611A4" w:rsidRDefault="004611A4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广播的特点</w:t>
            </w:r>
          </w:p>
          <w:p w:rsidR="005850D1" w:rsidRDefault="004611A4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②</w:t>
            </w:r>
            <w:r w:rsidR="000A5F57">
              <w:rPr>
                <w:rFonts w:ascii="微软雅黑" w:eastAsia="微软雅黑" w:hAnsi="微软雅黑" w:cs="微软雅黑" w:hint="eastAsia"/>
                <w:sz w:val="21"/>
                <w:szCs w:val="21"/>
              </w:rPr>
              <w:t>电视的特点及引发的不良</w:t>
            </w:r>
            <w:r w:rsidR="007E6E6C">
              <w:rPr>
                <w:rFonts w:ascii="微软雅黑" w:eastAsia="微软雅黑" w:hAnsi="微软雅黑" w:cs="微软雅黑" w:hint="eastAsia"/>
                <w:sz w:val="21"/>
                <w:szCs w:val="21"/>
              </w:rPr>
              <w:t>现象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6960AD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475367" w:rsidTr="0015302A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3．新媒介与信息化社会</w:t>
            </w:r>
          </w:p>
        </w:tc>
      </w:tr>
      <w:tr w:rsidR="005850D1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850D1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（1）新媒介的种类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475367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互联网的优点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850D1" w:rsidRDefault="006960AD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475367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（2）传播新技术对媒介实践的研究的冲击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475367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信源多元化、技术融合化、内容个人化、传受交互化、关系平等化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6960AD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475367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475367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麦卡卢汉的媒介理论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6960AD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:rsidR="005850D1" w:rsidRDefault="0047536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（四）大众传播媒介的自由与责任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475367" w:rsidTr="004B5A81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475367" w:rsidTr="004B5A81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</w:t>
            </w:r>
            <w:r w:rsidR="007E6E6C">
              <w:rPr>
                <w:rFonts w:ascii="微软雅黑" w:eastAsia="微软雅黑" w:hAnsi="微软雅黑" w:cs="微软雅黑" w:hint="eastAsia"/>
                <w:sz w:val="21"/>
                <w:szCs w:val="21"/>
              </w:rPr>
              <w:t>社会控制的其他理论</w:t>
            </w:r>
          </w:p>
        </w:tc>
      </w:tr>
      <w:tr w:rsidR="00475367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</w:t>
            </w:r>
            <w:r w:rsidR="007E6E6C">
              <w:rPr>
                <w:rFonts w:ascii="微软雅黑" w:eastAsia="微软雅黑" w:hAnsi="微软雅黑" w:cs="微软雅黑" w:hint="eastAsia"/>
                <w:sz w:val="21"/>
                <w:szCs w:val="21"/>
              </w:rPr>
              <w:t>“获知权”和“接近权”理论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Pr="00E21B19" w:rsidRDefault="007E6E6C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获知权、接近权的含义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475367" w:rsidRDefault="00475367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E6E6C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E6C" w:rsidRDefault="007E6E6C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（2）社会主义国家的大众传播体制理论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6E6C" w:rsidRDefault="007E6E6C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中国共产党的新闻政策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6E6C" w:rsidRDefault="006960AD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E6E6C" w:rsidTr="004B5A81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E6C" w:rsidRDefault="007E6E6C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（3）媒介自律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6E6C" w:rsidRDefault="007E6E6C" w:rsidP="004B5A81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新闻专业主义的内涵及特征、新闻专业主义的困境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6E6C" w:rsidRDefault="006960AD" w:rsidP="004B5A81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:rsidR="00475367" w:rsidRDefault="000F0EB3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（五）</w:t>
      </w:r>
      <w:r w:rsidR="00997089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传播内容的中介、载体与表达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0F0EB3" w:rsidTr="000C299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F0EB3" w:rsidRDefault="000F0EB3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F0EB3" w:rsidRDefault="000F0EB3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F0EB3" w:rsidRDefault="000F0EB3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0F0EB3" w:rsidTr="000C299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F0EB3" w:rsidRDefault="000F0EB3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</w:t>
            </w:r>
            <w:r w:rsidR="00997089">
              <w:rPr>
                <w:rFonts w:ascii="微软雅黑" w:eastAsia="微软雅黑" w:hAnsi="微软雅黑" w:cs="微软雅黑" w:hint="eastAsia"/>
                <w:sz w:val="21"/>
                <w:szCs w:val="21"/>
              </w:rPr>
              <w:t>什么是信息</w:t>
            </w:r>
          </w:p>
        </w:tc>
      </w:tr>
      <w:tr w:rsidR="000F0EB3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F0EB3" w:rsidRDefault="000F0EB3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</w:t>
            </w:r>
            <w:r w:rsidR="00997089">
              <w:rPr>
                <w:rFonts w:ascii="微软雅黑" w:eastAsia="微软雅黑" w:hAnsi="微软雅黑" w:cs="微软雅黑" w:hint="eastAsia"/>
                <w:sz w:val="21"/>
                <w:szCs w:val="21"/>
              </w:rPr>
              <w:t>信息的基本性质和传播特征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F0EB3" w:rsidRPr="00E21B19" w:rsidRDefault="00997089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信息的基本性质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F0EB3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997089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97089" w:rsidRDefault="00997089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（2）信息的分类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997089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信息的分类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997089" w:rsidTr="005E0344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97089" w:rsidRDefault="00997089" w:rsidP="0099708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2．什么是符号</w:t>
            </w:r>
          </w:p>
        </w:tc>
      </w:tr>
      <w:tr w:rsidR="00997089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97089" w:rsidRDefault="00997089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（1）符号的定义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997089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符号是传播过程中为传达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讯息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而用以指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代某种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意义的中介。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B451A" w:rsidTr="00BB3294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B451A" w:rsidRDefault="00CB451A" w:rsidP="00CB451A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3．语言传播与非语言传播</w:t>
            </w:r>
          </w:p>
        </w:tc>
      </w:tr>
      <w:tr w:rsidR="00997089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97089" w:rsidRDefault="001554D9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 w:rsidR="00CB451A">
              <w:rPr>
                <w:rFonts w:ascii="微软雅黑" w:eastAsia="微软雅黑" w:hAnsi="微软雅黑" w:cs="微软雅黑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）非语言传播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1554D9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非语言符号的特性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CB451A" w:rsidTr="009677F2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B451A" w:rsidRDefault="00CB451A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4．大众传播的内容</w:t>
            </w:r>
          </w:p>
        </w:tc>
      </w:tr>
      <w:tr w:rsidR="00997089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97089" w:rsidRDefault="00CB451A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（1）媒介内容的类型与研究方法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CB451A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媒介内容的类型</w:t>
            </w:r>
          </w:p>
          <w:p w:rsidR="00CB451A" w:rsidRDefault="00CB451A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内容分析法与文本结构分析法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997089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97089" w:rsidRDefault="00CB451A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（2）新闻类型的分析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CB451A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新闻价值的要素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97089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</w:tbl>
    <w:p w:rsidR="00475367" w:rsidRDefault="007203BE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</w:t>
      </w:r>
      <w:r w:rsidR="00D70A6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六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）大众传播的受众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7203BE" w:rsidTr="000C299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7203BE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7203BE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7203BE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203BE" w:rsidTr="000C299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7203BE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1．受众概述</w:t>
            </w:r>
          </w:p>
        </w:tc>
      </w:tr>
      <w:tr w:rsidR="007203BE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203BE" w:rsidRDefault="007203BE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（1）传播过程中的受众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Pr="00E21B19" w:rsidRDefault="007203BE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大众传播的受众的特点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7203BE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203BE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203BE" w:rsidRDefault="003C5911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（2）受众的选择性心理和行为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3C5911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受众的选择性注意、选择性理解、选择性记忆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7203BE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7203BE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203BE" w:rsidRDefault="003C5911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（3）受众对媒介的使用和满足而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3C5911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“使用与满足”模式</w:t>
            </w:r>
          </w:p>
          <w:p w:rsidR="003C5911" w:rsidRPr="003C5911" w:rsidRDefault="003C5911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受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众使用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媒介的需要的五大类型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3C5911" w:rsidTr="00E15157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5911" w:rsidRDefault="003C5911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2．受众研究的主要成果</w:t>
            </w:r>
          </w:p>
        </w:tc>
      </w:tr>
      <w:tr w:rsidR="007203BE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203BE" w:rsidRDefault="003C5911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（1）受众研究的经典理论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D70A64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个人差异论、社会分类论、社会关系论、文化规范论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203BE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D70A64" w:rsidTr="00114000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70A64" w:rsidRDefault="00D70A64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3．受众调查</w:t>
            </w:r>
          </w:p>
        </w:tc>
      </w:tr>
      <w:tr w:rsidR="00D70A64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70A64" w:rsidRDefault="00D70A64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（1）受众调查概述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D70A64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受众调查的内容：受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众构成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调查、媒介接触行为调查、受众意向调查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:rsidR="007203BE" w:rsidRPr="000F0EB3" w:rsidRDefault="00D70A64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（七）大众传播的效果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D70A64" w:rsidTr="000C2995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D70A64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D70A64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D70A64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D70A64" w:rsidTr="000C2995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D70A64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1．效果概述</w:t>
            </w:r>
          </w:p>
        </w:tc>
      </w:tr>
      <w:tr w:rsidR="00D70A64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70A64" w:rsidRDefault="00D70A64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（1）传播效果的内涵与层次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D70A64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传播效果的内涵</w:t>
            </w:r>
          </w:p>
          <w:p w:rsidR="00D70A64" w:rsidRDefault="00D70A64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传播效果的类型</w:t>
            </w:r>
          </w:p>
          <w:p w:rsidR="00D70A64" w:rsidRPr="00E21B19" w:rsidRDefault="00D70A64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效果研究的三个发展阶段及代表性理论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F76B0" w:rsidTr="00D35FA9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F76B0" w:rsidRDefault="007F76B0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2．“有限效果”理论</w:t>
            </w:r>
          </w:p>
        </w:tc>
      </w:tr>
      <w:tr w:rsidR="00D70A64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70A64" w:rsidRDefault="00120CB8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（1）信息研究流程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120CB8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“两级传播”模式、意见领袖</w:t>
            </w:r>
          </w:p>
          <w:p w:rsidR="00120CB8" w:rsidRPr="00120CB8" w:rsidRDefault="00120CB8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Calibri" w:eastAsia="微软雅黑" w:hAnsi="Calibri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劝服研究：“一面型”和“两面型”、“理智型”和“情感型”、“开头”和“结尾”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E078FA" w:rsidTr="00B853DF">
        <w:trPr>
          <w:trHeight w:val="27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78FA" w:rsidRDefault="00E078FA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3．“多元效果”理论</w:t>
            </w:r>
          </w:p>
        </w:tc>
      </w:tr>
      <w:tr w:rsidR="00D70A64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70A64" w:rsidRDefault="00E078FA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（1）“培养”理论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E078FA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“培养”理论的中心内容和模式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D70A64" w:rsidTr="000C2995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70A64" w:rsidRDefault="00E078FA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（2）“知识沟”理论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E078FA" w:rsidP="000C2995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“知识沟”理论的含义及模式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D70A64" w:rsidRDefault="006960AD" w:rsidP="000C2995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:rsidR="00304738" w:rsidRDefault="0030473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04738" w:rsidRDefault="00F720D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:rsidR="00304738" w:rsidRDefault="00F720DC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</w:t>
      </w:r>
      <w:r w:rsidR="009C2D3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传播学原理（第二版）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》</w:t>
      </w:r>
      <w:r w:rsidR="009C2D3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，张国良主编，复旦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大学出版社</w:t>
      </w:r>
      <w:r w:rsidR="009C2D3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 w:rsidR="009C2D3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017</w:t>
      </w:r>
      <w:r w:rsidR="009C2D3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年版</w:t>
      </w:r>
    </w:p>
    <w:p w:rsidR="00304738" w:rsidRDefault="00F720DC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 </w:t>
      </w:r>
    </w:p>
    <w:p w:rsidR="00304738" w:rsidRDefault="00304738">
      <w:pPr>
        <w:spacing w:line="360" w:lineRule="exact"/>
        <w:rPr>
          <w:rFonts w:ascii="微软雅黑" w:eastAsia="微软雅黑" w:hAnsi="微软雅黑" w:cs="微软雅黑"/>
          <w:szCs w:val="21"/>
        </w:rPr>
      </w:pPr>
    </w:p>
    <w:sectPr w:rsidR="00304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10113"/>
    <w:multiLevelType w:val="hybridMultilevel"/>
    <w:tmpl w:val="B1C433C2"/>
    <w:lvl w:ilvl="0" w:tplc="36DC0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896288"/>
    <w:multiLevelType w:val="hybridMultilevel"/>
    <w:tmpl w:val="AA0289C8"/>
    <w:lvl w:ilvl="0" w:tplc="D47E6628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E933EA"/>
    <w:rsid w:val="000A5F57"/>
    <w:rsid w:val="000F0EB3"/>
    <w:rsid w:val="00120CB8"/>
    <w:rsid w:val="00153DF7"/>
    <w:rsid w:val="001554D9"/>
    <w:rsid w:val="002013CE"/>
    <w:rsid w:val="00285CF0"/>
    <w:rsid w:val="00304738"/>
    <w:rsid w:val="003C5911"/>
    <w:rsid w:val="00420EE7"/>
    <w:rsid w:val="004611A4"/>
    <w:rsid w:val="00475367"/>
    <w:rsid w:val="00506836"/>
    <w:rsid w:val="005850D1"/>
    <w:rsid w:val="006960AD"/>
    <w:rsid w:val="007203BE"/>
    <w:rsid w:val="007502C5"/>
    <w:rsid w:val="007E6E6C"/>
    <w:rsid w:val="007F76B0"/>
    <w:rsid w:val="00997089"/>
    <w:rsid w:val="009C2D3B"/>
    <w:rsid w:val="00A0690D"/>
    <w:rsid w:val="00A15ABD"/>
    <w:rsid w:val="00B4153A"/>
    <w:rsid w:val="00C67F70"/>
    <w:rsid w:val="00CB451A"/>
    <w:rsid w:val="00D70A64"/>
    <w:rsid w:val="00E078FA"/>
    <w:rsid w:val="00E21B19"/>
    <w:rsid w:val="00F34377"/>
    <w:rsid w:val="00F36C4F"/>
    <w:rsid w:val="00F720DC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B64C32-F833-4158-A22A-8BF5E780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46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YUKIN</cp:lastModifiedBy>
  <cp:revision>13</cp:revision>
  <dcterms:created xsi:type="dcterms:W3CDTF">2019-03-25T15:31:00Z</dcterms:created>
  <dcterms:modified xsi:type="dcterms:W3CDTF">2019-04-08T01:16:00Z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